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C992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0E478F1A" w14:textId="77777777"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6A49A099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A15E5">
        <w:rPr>
          <w:rFonts w:ascii="Times New Roman" w:hAnsi="Times New Roman"/>
          <w:b/>
          <w:sz w:val="24"/>
          <w:szCs w:val="24"/>
        </w:rPr>
        <w:t>Кількість, обсяг поставки та технічні, якісні характеристики товару:</w:t>
      </w:r>
    </w:p>
    <w:p w14:paraId="1C2C6E83" w14:textId="3364077C" w:rsidR="00DC4CCD" w:rsidRDefault="00DC4CCD" w:rsidP="00DC4CCD">
      <w:pPr>
        <w:pStyle w:val="a4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60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Сік мультифруктовий на основі яблука 100%, без цукру, відновлений, пастеризований, </w:t>
      </w:r>
      <w:r w:rsidR="00C662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тетра-пак, </w:t>
      </w:r>
      <w:r w:rsidRPr="005B60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кількістю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225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літрів. </w:t>
      </w:r>
    </w:p>
    <w:p w14:paraId="6F986271" w14:textId="77777777" w:rsidR="00DC4CCD" w:rsidRPr="005B600C" w:rsidRDefault="00DC4CCD" w:rsidP="00DC4CCD">
      <w:pPr>
        <w:pStyle w:val="a4"/>
        <w:shd w:val="clear" w:color="auto" w:fill="FFFFFF"/>
        <w:spacing w:before="0" w:after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Вид: відновлений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Основа соку: яблуко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Спосіб обробки: пастеризований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Кількість соку або плодової частини у складі: 100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Наявність м'якоті: Ні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Освітлений: Ні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Упаковка: пляшка картонна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Об'єм: 1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Цукор або підсолоджувачі у складі: Ні</w:t>
      </w:r>
    </w:p>
    <w:p w14:paraId="25A30AB7" w14:textId="624E2C67" w:rsidR="00B931E6" w:rsidRPr="005B600C" w:rsidRDefault="00DC4CCD" w:rsidP="00B931E6">
      <w:pPr>
        <w:pStyle w:val="a4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Сік </w:t>
      </w:r>
      <w:r w:rsidRPr="00EE51E6">
        <w:rPr>
          <w:rFonts w:ascii="Times New Roman" w:hAnsi="Times New Roman" w:cs="Times New Roman"/>
          <w:sz w:val="24"/>
          <w:szCs w:val="24"/>
          <w:lang w:val="uk-UA"/>
        </w:rPr>
        <w:t>виноградний без додатків, відновлений, пастеризований, без цукру, тетра-пак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B60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931E6" w:rsidRPr="005B60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1л</w:t>
      </w:r>
      <w:r w:rsidR="00B931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кількістю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110</w:t>
      </w:r>
      <w:r w:rsidR="00B931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 літрів.</w:t>
      </w:r>
    </w:p>
    <w:p w14:paraId="7ADECEFE" w14:textId="77777777" w:rsidR="00B931E6" w:rsidRDefault="00B931E6" w:rsidP="00B931E6">
      <w:pPr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Вид: відновлений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Основа соку: яблуко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Спосіб обробки: пастеризований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Кількість соку або плодової частини у складі: 100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Додатки: виноград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Наявність м'якоті: Ні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Освітлений: Так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Упаковка: пляшка картонна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Об'єм: 1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Цукор або підсолоджувачі у складі: Ні</w:t>
      </w:r>
    </w:p>
    <w:p w14:paraId="3453D684" w14:textId="631A90D5" w:rsidR="00DC4CCD" w:rsidRPr="005B600C" w:rsidRDefault="00DC4CCD" w:rsidP="00DC4CCD">
      <w:pPr>
        <w:pStyle w:val="a4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Сік </w:t>
      </w:r>
      <w:r w:rsidRPr="00EE51E6">
        <w:rPr>
          <w:rFonts w:ascii="Times New Roman" w:hAnsi="Times New Roman" w:cs="Times New Roman"/>
          <w:sz w:val="24"/>
          <w:szCs w:val="24"/>
          <w:lang w:val="uk-UA"/>
        </w:rPr>
        <w:t>яблучний, відновлений, пастеризований, без додатків, без цукру, тетра-пак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B60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кількістю 1100 літрів.</w:t>
      </w:r>
    </w:p>
    <w:p w14:paraId="0F5963D7" w14:textId="70C8A6D5" w:rsidR="00DC4CCD" w:rsidRDefault="00DC4CCD" w:rsidP="00DC4CCD">
      <w:pPr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Вид: відновлений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Основа соку: яблуко</w:t>
      </w:r>
      <w:r w:rsidR="00C662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100%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Спосіб обробки: пастеризований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Кількість соку або плодової частини у складі: 100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Додатки: </w:t>
      </w:r>
      <w:r w:rsidR="00C662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немає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Наявність м'якоті: Ні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Освітлений: Так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Упаковка: пляшка картонна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Об'єм: 1</w:t>
      </w:r>
      <w:r w:rsidRPr="005B600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B60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Цукор або підсолоджувачі у складі: Ні</w:t>
      </w:r>
    </w:p>
    <w:p w14:paraId="50B7CF2C" w14:textId="77777777" w:rsidR="00B931E6" w:rsidRDefault="00B931E6" w:rsidP="00B931E6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42AC9CEC" w14:textId="77777777" w:rsidR="00B931E6" w:rsidRPr="00B931E6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30CEA8A" w14:textId="77777777"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3C39" w:rsidRPr="003A15E5">
        <w:rPr>
          <w:rFonts w:ascii="Times New Roman" w:hAnsi="Times New Roman"/>
          <w:sz w:val="24"/>
          <w:szCs w:val="24"/>
        </w:rPr>
        <w:t>Якість Товару повинна відповідати показникам безпечності та якості для харчових продуктів, чинним нормативним документам, затвердженим у встановленому законодавством порядку, відповідати вимогам Закону України «Про основні принципи та вимоги до безпечності та якості харчових продуктів» та іншим нормативно-правовим актам.</w:t>
      </w:r>
    </w:p>
    <w:p w14:paraId="518EA40C" w14:textId="77777777" w:rsidR="000E5E4C" w:rsidRPr="00DC4CCD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Продукти харчування </w:t>
      </w: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(яйця) </w:t>
      </w: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повинні мати: </w:t>
      </w:r>
    </w:p>
    <w:p w14:paraId="68383A32" w14:textId="77777777" w:rsidR="000E5E4C" w:rsidRPr="00DC4CCD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- якісне посвідчення виробника;</w:t>
      </w:r>
    </w:p>
    <w:p w14:paraId="501D8833" w14:textId="77777777" w:rsidR="000E5E4C" w:rsidRPr="00DC4CCD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 висновок державної санітарно - епідеміологічної експертизи. </w:t>
      </w:r>
    </w:p>
    <w:p w14:paraId="17FEE5EB" w14:textId="77777777" w:rsidR="000E5E4C" w:rsidRPr="00DC4CCD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DC4C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Дані документи повинні бути у складі тендерної  пропозиції та надані учасником на кожну поставлену партію. Якість запропонованого товару підтверджується в складі тендерної пропозиції посвідченням якості (декларацією виробника) та  документом (експертний висновок, та інший документ  про якість)  та/або іншим  компетентним  органом. Крім того, під час подальшого постачання в заклад  замовника на кожну партію товару надаються копії вищевказаних документів, дійсні на дату постачання, завірені печаткою та підписом посадової особи постачальника. </w:t>
      </w:r>
    </w:p>
    <w:p w14:paraId="28C73699" w14:textId="506FCCDE"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DC4CCD">
        <w:rPr>
          <w:color w:val="000000" w:themeColor="text1"/>
          <w:lang w:val="uk-UA"/>
        </w:rPr>
        <w:t xml:space="preserve">        </w:t>
      </w:r>
      <w:r w:rsidR="00304BDE" w:rsidRPr="00DC4CCD">
        <w:rPr>
          <w:color w:val="000000" w:themeColor="text1"/>
        </w:rPr>
        <w:t xml:space="preserve">Очікувана вартість предмета закупівлі: </w:t>
      </w:r>
      <w:r w:rsidR="00DC4CCD" w:rsidRPr="00DC4CCD">
        <w:rPr>
          <w:color w:val="000000" w:themeColor="text1"/>
          <w:lang w:val="uk-UA"/>
        </w:rPr>
        <w:t>238950</w:t>
      </w:r>
      <w:r w:rsidR="00304BDE" w:rsidRPr="00DC4CCD">
        <w:rPr>
          <w:color w:val="000000" w:themeColor="text1"/>
        </w:rPr>
        <w:t xml:space="preserve">,00 грн., кошти місцевого бюджету. КЕКВ 2230. </w:t>
      </w:r>
      <w:r w:rsidR="00F074F5" w:rsidRPr="00DC4CCD">
        <w:rPr>
          <w:color w:val="000000" w:themeColor="text1"/>
          <w:lang w:val="uk-UA"/>
        </w:rPr>
        <w:t>Очікувана вартість предмета закупівлі</w:t>
      </w:r>
      <w:r w:rsidR="00F074F5">
        <w:rPr>
          <w:color w:val="000000" w:themeColor="text1"/>
          <w:lang w:val="uk-UA"/>
        </w:rPr>
        <w:t xml:space="preserve">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14:paraId="7D865755" w14:textId="77777777" w:rsidR="009C19ED" w:rsidRPr="001C3C39" w:rsidRDefault="00304BDE" w:rsidP="00B931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C3C39">
        <w:rPr>
          <w:color w:val="000000" w:themeColor="text1"/>
        </w:rPr>
        <w:t>Закупівля даного виду товару за своїми якісними та технічними характеристиками найбільше відповідатиме вимогам та потребам замовника.</w:t>
      </w: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E5E4C"/>
    <w:rsid w:val="001C3C39"/>
    <w:rsid w:val="00304BDE"/>
    <w:rsid w:val="003965C1"/>
    <w:rsid w:val="003D2D40"/>
    <w:rsid w:val="00424A9A"/>
    <w:rsid w:val="004E4879"/>
    <w:rsid w:val="0056729A"/>
    <w:rsid w:val="007100C7"/>
    <w:rsid w:val="00864D5F"/>
    <w:rsid w:val="00920F4B"/>
    <w:rsid w:val="009C19ED"/>
    <w:rsid w:val="00B931E6"/>
    <w:rsid w:val="00B96F86"/>
    <w:rsid w:val="00BD279D"/>
    <w:rsid w:val="00C662DB"/>
    <w:rsid w:val="00CD2564"/>
    <w:rsid w:val="00DC4CCD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3A48"/>
  <w15:docId w15:val="{E1356D21-9FAF-4500-81E4-AF7B7AC1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3</cp:revision>
  <dcterms:created xsi:type="dcterms:W3CDTF">2025-12-15T13:23:00Z</dcterms:created>
  <dcterms:modified xsi:type="dcterms:W3CDTF">2025-12-15T13:24:00Z</dcterms:modified>
</cp:coreProperties>
</file>