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20" w:rsidRDefault="00E86920" w:rsidP="000727CC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24635719" r:id="rId6"/>
        </w:object>
      </w:r>
    </w:p>
    <w:p w:rsidR="00E86920" w:rsidRDefault="00E86920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E86920" w:rsidRDefault="00E86920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E86920" w:rsidRDefault="00E86920" w:rsidP="000727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E86920" w:rsidRDefault="00E86920" w:rsidP="000727CC">
      <w:pPr>
        <w:jc w:val="center"/>
        <w:rPr>
          <w:color w:val="000000"/>
          <w:sz w:val="28"/>
          <w:szCs w:val="28"/>
        </w:rPr>
      </w:pPr>
    </w:p>
    <w:p w:rsidR="00E86920" w:rsidRDefault="00E86920" w:rsidP="000727CC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E86920" w:rsidRDefault="00E86920" w:rsidP="000727CC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86920" w:rsidRDefault="00E86920" w:rsidP="000727CC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25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60/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Проєкт</w:t>
      </w:r>
      <w:r>
        <w:rPr>
          <w:sz w:val="28"/>
          <w:szCs w:val="28"/>
        </w:rPr>
        <w:t xml:space="preserve">               </w:t>
      </w:r>
    </w:p>
    <w:p w:rsidR="00E86920" w:rsidRDefault="00E86920" w:rsidP="000727CC">
      <w:pPr>
        <w:tabs>
          <w:tab w:val="left" w:pos="2235"/>
        </w:tabs>
        <w:rPr>
          <w:lang w:val="uk-UA"/>
        </w:rPr>
      </w:pPr>
      <w:r>
        <w:rPr>
          <w:lang w:val="uk-UA"/>
        </w:rPr>
        <w:t>с-ще</w:t>
      </w:r>
      <w:r>
        <w:t xml:space="preserve"> Люблинець </w:t>
      </w:r>
    </w:p>
    <w:p w:rsidR="00E86920" w:rsidRPr="000727CC" w:rsidRDefault="00E86920" w:rsidP="000727CC">
      <w:pPr>
        <w:tabs>
          <w:tab w:val="left" w:pos="2235"/>
        </w:tabs>
        <w:rPr>
          <w:sz w:val="28"/>
          <w:szCs w:val="28"/>
          <w:lang w:val="uk-UA"/>
        </w:rPr>
      </w:pPr>
    </w:p>
    <w:p w:rsidR="00E86920" w:rsidRPr="000727CC" w:rsidRDefault="00E86920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Про затвердження Програми підтримки</w:t>
      </w:r>
    </w:p>
    <w:p w:rsidR="00E86920" w:rsidRPr="000727CC" w:rsidRDefault="00E86920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ініціатив жителів Люблинецької громади</w:t>
      </w:r>
    </w:p>
    <w:p w:rsidR="00E86920" w:rsidRPr="000727CC" w:rsidRDefault="00E86920" w:rsidP="00D1480D">
      <w:pPr>
        <w:ind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«Разом-сила» на 2026-2028 роки</w:t>
      </w:r>
    </w:p>
    <w:p w:rsidR="00E86920" w:rsidRDefault="00E86920" w:rsidP="000727CC">
      <w:pPr>
        <w:ind w:right="-82"/>
        <w:jc w:val="both"/>
        <w:rPr>
          <w:b/>
          <w:bCs/>
          <w:sz w:val="28"/>
          <w:szCs w:val="28"/>
          <w:lang w:val="uk-UA"/>
        </w:rPr>
      </w:pPr>
    </w:p>
    <w:p w:rsidR="00E86920" w:rsidRDefault="00E86920" w:rsidP="000727CC">
      <w:pPr>
        <w:ind w:right="-82"/>
        <w:jc w:val="both"/>
        <w:rPr>
          <w:b/>
          <w:bCs/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 xml:space="preserve">З метою підтримки громадських ініціатив, спрямованих на активізацію громади та розвиток навичок самоорганізації населення, відповідно до ст.25 Закону України «Про місцеве самоврядування» селищна рада  </w:t>
      </w:r>
      <w:r w:rsidRPr="000727CC">
        <w:rPr>
          <w:b/>
          <w:bCs/>
          <w:sz w:val="28"/>
          <w:szCs w:val="28"/>
          <w:lang w:val="uk-UA"/>
        </w:rPr>
        <w:t>вирішила:</w:t>
      </w:r>
    </w:p>
    <w:p w:rsidR="00E86920" w:rsidRPr="000727CC" w:rsidRDefault="00E86920" w:rsidP="000727CC">
      <w:pPr>
        <w:ind w:right="-82"/>
        <w:jc w:val="both"/>
        <w:rPr>
          <w:b/>
          <w:bCs/>
          <w:sz w:val="28"/>
          <w:szCs w:val="28"/>
          <w:lang w:val="uk-UA"/>
        </w:rPr>
      </w:pPr>
    </w:p>
    <w:p w:rsidR="00E86920" w:rsidRPr="000727CC" w:rsidRDefault="00E86920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</w:t>
      </w:r>
      <w:r w:rsidRPr="000727CC">
        <w:rPr>
          <w:sz w:val="28"/>
          <w:szCs w:val="28"/>
          <w:lang w:val="uk-UA"/>
        </w:rPr>
        <w:t>Затвердити «Програму підтримки ініціатив жителів Люблинецької</w:t>
      </w:r>
    </w:p>
    <w:p w:rsidR="00E86920" w:rsidRPr="000727CC" w:rsidRDefault="00E86920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 xml:space="preserve"> громади «Разом - сила» на 2026-2028 роки (додається).</w:t>
      </w:r>
    </w:p>
    <w:p w:rsidR="00E86920" w:rsidRPr="000727CC" w:rsidRDefault="00E86920" w:rsidP="00D92EED">
      <w:pPr>
        <w:pStyle w:val="a"/>
        <w:ind w:left="0"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Pr="000727CC">
        <w:rPr>
          <w:sz w:val="28"/>
          <w:szCs w:val="28"/>
          <w:lang w:val="uk-UA"/>
        </w:rPr>
        <w:t xml:space="preserve">Рішення підлягає офіційному оприлюдненню на сайті Люблинецької громади за </w:t>
      </w:r>
      <w:r w:rsidRPr="000727CC">
        <w:rPr>
          <w:sz w:val="28"/>
          <w:szCs w:val="28"/>
          <w:shd w:val="clear" w:color="auto" w:fill="FFFFFF"/>
        </w:rPr>
        <w:t>електронною адресою</w:t>
      </w:r>
      <w:r w:rsidRPr="000727CC">
        <w:rPr>
          <w:sz w:val="28"/>
          <w:szCs w:val="28"/>
          <w:shd w:val="clear" w:color="auto" w:fill="FFFFFF"/>
          <w:lang w:val="uk-UA"/>
        </w:rPr>
        <w:t xml:space="preserve"> http:www.lyublynets-gromada.org.ua.</w:t>
      </w:r>
    </w:p>
    <w:p w:rsidR="00E86920" w:rsidRPr="00D92EED" w:rsidRDefault="00E86920" w:rsidP="00D92EED">
      <w:pPr>
        <w:tabs>
          <w:tab w:val="left" w:pos="2235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       3</w:t>
      </w:r>
      <w:r w:rsidRPr="00D92EED">
        <w:rPr>
          <w:color w:val="000000"/>
          <w:sz w:val="28"/>
          <w:szCs w:val="28"/>
          <w:lang w:val="uk-UA" w:eastAsia="ru-RU"/>
        </w:rPr>
        <w:t xml:space="preserve">. </w:t>
      </w:r>
      <w:r w:rsidRPr="00D92EE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E86920" w:rsidRPr="000727CC" w:rsidRDefault="00E86920" w:rsidP="00D1480D">
      <w:pPr>
        <w:ind w:right="-5" w:firstLine="708"/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ind w:right="-5"/>
        <w:jc w:val="both"/>
        <w:rPr>
          <w:sz w:val="28"/>
          <w:szCs w:val="28"/>
          <w:lang w:val="uk-UA"/>
        </w:rPr>
      </w:pPr>
    </w:p>
    <w:p w:rsidR="00E86920" w:rsidRPr="000727CC" w:rsidRDefault="00E86920" w:rsidP="00D1480D">
      <w:pPr>
        <w:ind w:right="-5"/>
        <w:jc w:val="both"/>
        <w:rPr>
          <w:sz w:val="28"/>
          <w:szCs w:val="28"/>
          <w:lang w:val="uk-UA"/>
        </w:rPr>
      </w:pPr>
      <w:r w:rsidRPr="000727CC">
        <w:rPr>
          <w:sz w:val="28"/>
          <w:szCs w:val="28"/>
          <w:lang w:val="uk-UA"/>
        </w:rPr>
        <w:t>Селищний голова</w:t>
      </w:r>
      <w:r w:rsidRPr="000727CC">
        <w:rPr>
          <w:sz w:val="28"/>
          <w:szCs w:val="28"/>
          <w:lang w:val="uk-UA"/>
        </w:rPr>
        <w:tab/>
        <w:t xml:space="preserve">                                                       Наталія СІХОВСЬКА</w:t>
      </w:r>
    </w:p>
    <w:p w:rsidR="00E86920" w:rsidRDefault="00E86920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E86920" w:rsidRDefault="00E86920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E86920" w:rsidRDefault="00E86920" w:rsidP="00D1480D">
      <w:pPr>
        <w:pStyle w:val="a"/>
        <w:tabs>
          <w:tab w:val="left" w:pos="993"/>
        </w:tabs>
        <w:ind w:left="0"/>
        <w:jc w:val="both"/>
        <w:rPr>
          <w:lang w:val="uk-UA"/>
        </w:rPr>
      </w:pPr>
    </w:p>
    <w:p w:rsidR="00E86920" w:rsidRDefault="00E86920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  <w:lang w:val="uk-UA"/>
        </w:rPr>
      </w:pPr>
    </w:p>
    <w:p w:rsidR="00E86920" w:rsidRDefault="00E86920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</w:rPr>
      </w:pPr>
    </w:p>
    <w:p w:rsidR="00E86920" w:rsidRDefault="00E86920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</w:rPr>
      </w:pPr>
    </w:p>
    <w:p w:rsidR="00E86920" w:rsidRDefault="00E86920" w:rsidP="00D1480D"/>
    <w:p w:rsidR="00E86920" w:rsidRDefault="00E86920" w:rsidP="00D1480D">
      <w:pPr>
        <w:pStyle w:val="Heading7"/>
        <w:keepLines w:val="0"/>
        <w:numPr>
          <w:ilvl w:val="6"/>
          <w:numId w:val="2"/>
        </w:numPr>
        <w:spacing w:before="0"/>
        <w:jc w:val="center"/>
        <w:rPr>
          <w:b/>
          <w:bCs/>
        </w:rPr>
      </w:pPr>
    </w:p>
    <w:p w:rsidR="00E86920" w:rsidRDefault="00E86920" w:rsidP="00D1480D"/>
    <w:p w:rsidR="00E86920" w:rsidRDefault="00E86920" w:rsidP="00D1480D"/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92EED">
      <w:pPr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ind w:firstLine="5245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:rsidR="00E86920" w:rsidRPr="000727CC" w:rsidRDefault="00E86920" w:rsidP="000727CC">
      <w:pPr>
        <w:ind w:left="5245"/>
        <w:jc w:val="both"/>
        <w:rPr>
          <w:lang w:val="uk-UA"/>
        </w:rPr>
      </w:pPr>
      <w:r>
        <w:rPr>
          <w:lang w:val="uk-UA"/>
        </w:rPr>
        <w:t xml:space="preserve">до рішення Люблинецької селищної  ради від 20.11.2025 р.  № </w:t>
      </w: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  <w:lang w:val="uk-UA"/>
        </w:rPr>
        <w:t>ПРОГРАМИ</w:t>
      </w:r>
    </w:p>
    <w:p w:rsidR="00E86920" w:rsidRDefault="00E86920" w:rsidP="00D1480D">
      <w:pPr>
        <w:jc w:val="center"/>
        <w:rPr>
          <w:b/>
          <w:bCs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720"/>
        <w:gridCol w:w="3958"/>
        <w:gridCol w:w="4536"/>
      </w:tblGrid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</w:pPr>
            <w:r>
              <w:t>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Повна назва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Програма підтримки ініціатив жителів Люблинецької громади «Разом-сила» на 2026-2028 роки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Розробник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Співрозробники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Депутати селищної ради</w:t>
            </w:r>
          </w:p>
          <w:p w:rsidR="00E86920" w:rsidRDefault="00E86920">
            <w:pPr>
              <w:snapToGrid w:val="0"/>
              <w:jc w:val="both"/>
              <w:rPr>
                <w:lang w:val="uk-UA"/>
              </w:rPr>
            </w:pP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Люблинецької селищної ради  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</w:pPr>
            <w:r>
              <w:rPr>
                <w:lang w:val="uk-UA"/>
              </w:rPr>
              <w:t>5</w:t>
            </w:r>
            <w: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>Учасники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Територіальна громада 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</w:pPr>
            <w:r>
              <w:rPr>
                <w:lang w:val="uk-UA"/>
              </w:rPr>
              <w:t>6</w:t>
            </w:r>
            <w: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2026-2028 рік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</w:pPr>
            <w:r>
              <w:rPr>
                <w:lang w:val="uk-UA"/>
              </w:rPr>
              <w:t>7</w:t>
            </w:r>
            <w: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>Бюджет селищної ради</w:t>
            </w:r>
          </w:p>
        </w:tc>
      </w:tr>
      <w:tr w:rsidR="00E8692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jc w:val="center"/>
            </w:pPr>
            <w:r>
              <w:rPr>
                <w:lang w:val="uk-UA"/>
              </w:rPr>
              <w:t>8</w:t>
            </w:r>
            <w: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20" w:rsidRDefault="00E86920">
            <w:pPr>
              <w:rPr>
                <w:lang w:val="uk-UA"/>
              </w:rPr>
            </w:pPr>
          </w:p>
          <w:p w:rsidR="00E86920" w:rsidRDefault="00E86920">
            <w:pPr>
              <w:rPr>
                <w:lang w:val="uk-UA"/>
              </w:rPr>
            </w:pPr>
            <w:r>
              <w:rPr>
                <w:lang w:val="uk-UA"/>
              </w:rPr>
              <w:t xml:space="preserve"> В межах бюджетних призначень</w:t>
            </w:r>
          </w:p>
        </w:tc>
      </w:tr>
    </w:tbl>
    <w:p w:rsidR="00E86920" w:rsidRDefault="00E86920" w:rsidP="00D1480D">
      <w:pPr>
        <w:tabs>
          <w:tab w:val="left" w:pos="4500"/>
        </w:tabs>
        <w:rPr>
          <w:sz w:val="28"/>
          <w:szCs w:val="28"/>
        </w:rPr>
      </w:pPr>
    </w:p>
    <w:p w:rsidR="00E86920" w:rsidRDefault="00E86920" w:rsidP="00D1480D">
      <w:pPr>
        <w:tabs>
          <w:tab w:val="left" w:pos="4500"/>
        </w:tabs>
        <w:jc w:val="center"/>
        <w:rPr>
          <w:sz w:val="28"/>
          <w:szCs w:val="28"/>
        </w:rPr>
      </w:pP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Визначення проблем, на розв’язання яких спрямована програма</w:t>
      </w:r>
    </w:p>
    <w:p w:rsidR="00E86920" w:rsidRDefault="00E86920" w:rsidP="00D1480D">
      <w:pPr>
        <w:tabs>
          <w:tab w:val="left" w:pos="284"/>
          <w:tab w:val="left" w:pos="1080"/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Програма підтримки ініціатив жителів Люблинецької громади «Разом-сила» на 2026-2028 роки (далі Програма) спрямована на: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підтримку ініціатив жителів Люблинецької громади за напрямками визначеними у п. 1.2</w:t>
      </w:r>
      <w:r>
        <w:rPr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стимулювання та сприяння створенню організацій, покликаних розвивати громадські ініціативи, заохочувати членів територіальної громади до активізації своїх позицій;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можливості кожному жителю визначити проблему, яка, на його думку, потребує нагального вирішення;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  <w:tab w:val="left" w:pos="720"/>
          <w:tab w:val="left" w:pos="450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різних форм співпраці влади з громадою, вивчення громадської думки;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громадськості до процесів формування та реалізації діяльності влади і дотримання принципів відкритості, прозорості і публічності;</w:t>
      </w:r>
    </w:p>
    <w:p w:rsidR="00E86920" w:rsidRDefault="00E86920" w:rsidP="00D1480D">
      <w:pPr>
        <w:pStyle w:val="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співпраці громадян та Люблинецької селищної ради у контексті демократичних механізмів самоорганізації та участі у процесі вирішення місцевих проблем.</w:t>
      </w:r>
    </w:p>
    <w:p w:rsidR="00E86920" w:rsidRDefault="00E86920" w:rsidP="00D1480D">
      <w:pPr>
        <w:tabs>
          <w:tab w:val="left" w:pos="284"/>
          <w:tab w:val="left" w:pos="1080"/>
          <w:tab w:val="left" w:pos="4500"/>
        </w:tabs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Кошти Програми можуть бути використані на наступні цілі: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1.Благоустрій вулиць, зон відпочинку (встановлення обмежувачів руху транспорту, контейнерних площадок, облаштування водойм, зупинок громадського транспорту, озеленення та освітлення території, впорядкування кладовищ тощо).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Покращення умов проживання людей з обмеженими фізичними можливостями та сімей, які опинились у важких життєвих обставинах.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Організація дозвілля (проведення спортивно - масових заходів, конкурсів, концертів, святкування ювілейних дат, облаштування ігрових та спортивних майданчиків для дітей та молоді, культурно-мистецькі заходи, підтримка творчої та обдарованої молоді, облаштування місць для проведення змістовного дозвілля тощо).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Покращення екологічної ситуації (створення нових зелених зон, облаштування годівничок для птахів та шпаківень, встановлення смітників, ліквідація стихійних сміттєзвалищ, тощо).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Розбудова, збереження та відновлення історично - культурної спадщини територіальної громади (ознакування, ремонт та реставрація пам’яток архітектури, встановлення інформаційних таблиць, відродження місцевих народних традицій та  свят, тощо).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Впровадження енергозберігаючих заходів.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Підтримка та розвиток освітніх, культурних і творчих ініціатив (створення умов для самовираження дітей та молоді).</w:t>
      </w:r>
    </w:p>
    <w:p w:rsidR="00E86920" w:rsidRDefault="00E86920" w:rsidP="00D1480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Інші суспільно-корисні соціальні проекти.</w:t>
      </w: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Мета програми </w:t>
      </w:r>
    </w:p>
    <w:p w:rsidR="00E86920" w:rsidRDefault="00E86920" w:rsidP="00D1480D">
      <w:pPr>
        <w:jc w:val="both"/>
        <w:rPr>
          <w:sz w:val="28"/>
          <w:szCs w:val="28"/>
          <w:shd w:val="clear" w:color="auto" w:fill="FFFFFF"/>
          <w:lang w:val="uk-UA"/>
        </w:rPr>
      </w:pPr>
      <w:bookmarkStart w:id="0" w:name="BM26"/>
      <w:bookmarkEnd w:id="0"/>
      <w:r>
        <w:rPr>
          <w:sz w:val="28"/>
          <w:szCs w:val="28"/>
          <w:shd w:val="clear" w:color="auto" w:fill="FFFFFF"/>
          <w:lang w:val="uk-UA"/>
        </w:rPr>
        <w:t xml:space="preserve">2.1. Головна мета програми – </w:t>
      </w:r>
      <w:r>
        <w:rPr>
          <w:sz w:val="28"/>
          <w:szCs w:val="28"/>
          <w:lang w:val="uk-UA"/>
        </w:rPr>
        <w:t>підтримка громадських ініціатив, спрямованих на активізацію громади та розвиток навичок самоорганізації населення, залучення місцевих ресурсів громад для спільного вирішення соціально важливих проблем.</w:t>
      </w:r>
    </w:p>
    <w:p w:rsidR="00E86920" w:rsidRDefault="00E86920" w:rsidP="00D1480D">
      <w:pPr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Досягнення мети Програми відбувається у наступних аспектах:</w:t>
      </w:r>
      <w:r>
        <w:rPr>
          <w:sz w:val="28"/>
          <w:szCs w:val="28"/>
          <w:lang w:val="uk-UA"/>
        </w:rPr>
        <w:br/>
        <w:t>- комунікаційний: налагодження комунікацій та взаємодії між громадою та владою;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інформаційний: створення спільного інформаційного простору з висвітлення роботи Програми;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контрольно-моніторинговий: здійснення систематичного моніторингу та контролю за станом виконання Програми.</w:t>
      </w: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Завдання програми 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Програма передбачає проведення протягом 2026-2028 років  заходів, спрямованих на залучення громадськості до процесів формування, реалізації та розвитку різних форм співпраці влади з громадою, вивчення громадської думки.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Основними завданнями програми є:</w:t>
      </w:r>
    </w:p>
    <w:p w:rsidR="00E86920" w:rsidRDefault="00E86920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постійної співпраці органів місцевого самоврядування з громадськістю;</w:t>
      </w:r>
    </w:p>
    <w:p w:rsidR="00E86920" w:rsidRDefault="00E86920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активної участі жителів Люблинецької громади у реалізації громадських ініціатив;</w:t>
      </w:r>
    </w:p>
    <w:p w:rsidR="00E86920" w:rsidRDefault="00E86920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залучення додаткових місцевих ресурсів громади для вирішення соціально важливих проблем; </w:t>
      </w:r>
    </w:p>
    <w:p w:rsidR="00E86920" w:rsidRDefault="00E86920" w:rsidP="00D1480D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ефективного механізму розвитку територіальної громади.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 Механізм реалізації програми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Реалізація Програми відбуватиметься шляхом проведення конкурсу на визначення кращих громадських ініціатив відповідно до Порядку проведення конкурсу, що є у додатку.</w:t>
      </w:r>
    </w:p>
    <w:p w:rsidR="00E86920" w:rsidRDefault="00E86920" w:rsidP="00D1480D">
      <w:pPr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 Очікувані результати виконання програми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bookmarkStart w:id="1" w:name="BM29"/>
      <w:bookmarkEnd w:id="1"/>
      <w:r>
        <w:rPr>
          <w:sz w:val="28"/>
          <w:szCs w:val="28"/>
          <w:lang w:val="uk-UA"/>
        </w:rPr>
        <w:t>5.1. Виконання Програми забезпечить обізнаність жителів щодо можливостей реалізації ініціативних ідей, покращить рівень їх знань у підготовці проектних пропозицій, стимулює активізацію громадських ініціатив, спрямованих на залучення додаткових коштів на розвиток територіальної громади.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Очікувані результати виконання Програми: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налагодження конструктивної співпраці громадян і влади;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активізація участі громадськості у реалізації Програми;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першочергове врахування думки та пропозицій громадськості у вирішенні пріоритетних завдань розвитку території;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побудова комфортного та прогресивного середовища. 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 Джерела фінансування програми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Фінансування місцевих ініціатив здійснюється за рахунок коштів бюджету селищної ради при дольовій участі учасників.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Вартість (бюджет) реалізації однієї ініціативи не повинна перевищувати </w:t>
      </w:r>
      <w:r>
        <w:rPr>
          <w:sz w:val="28"/>
          <w:szCs w:val="28"/>
          <w:lang w:val="uk-UA"/>
        </w:rPr>
        <w:br/>
        <w:t>15 000 грн.</w:t>
      </w:r>
    </w:p>
    <w:p w:rsidR="00E86920" w:rsidRDefault="00E86920" w:rsidP="00D1480D">
      <w:pPr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Співфінансування учасників у розмірі не менше 20% від загальної вартості проекту однієї ініціативи.</w:t>
      </w: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Моніторинг та оцінка виконання програми</w:t>
      </w:r>
    </w:p>
    <w:p w:rsidR="00E86920" w:rsidRDefault="00E86920" w:rsidP="00D1480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7.1. Моніторинг виконання Програми здійснюється за встановленою формою, містить інформацію про заплановані  та фактичні обсяги фінансування, досягнуті результати (Додаток 1).</w:t>
      </w:r>
    </w:p>
    <w:p w:rsidR="00E86920" w:rsidRDefault="00E86920" w:rsidP="00D1480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Дані, отримані в процесі моніторингу, є основою для складання звіту про оцінку ефективності виконання Програми. </w:t>
      </w: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ind w:left="708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</w:t>
      </w:r>
      <w:r>
        <w:rPr>
          <w:lang w:val="uk-UA"/>
        </w:rPr>
        <w:t xml:space="preserve">                            Додаток </w:t>
      </w:r>
    </w:p>
    <w:p w:rsidR="00E86920" w:rsidRDefault="00E86920" w:rsidP="00D1480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до рішення Люблинецької селищної  ради</w:t>
      </w:r>
    </w:p>
    <w:p w:rsidR="00E86920" w:rsidRDefault="00E86920" w:rsidP="00D1480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від 20.11.2025 р. № </w:t>
      </w:r>
    </w:p>
    <w:p w:rsidR="00E86920" w:rsidRDefault="00E86920" w:rsidP="00D1480D">
      <w:pPr>
        <w:ind w:left="1416" w:firstLine="708"/>
        <w:jc w:val="right"/>
        <w:textAlignment w:val="baseline"/>
        <w:rPr>
          <w:color w:val="000000"/>
          <w:sz w:val="28"/>
          <w:szCs w:val="28"/>
          <w:lang w:val="uk-UA" w:eastAsia="uk-UA"/>
        </w:rPr>
      </w:pPr>
    </w:p>
    <w:p w:rsidR="00E86920" w:rsidRDefault="00E86920" w:rsidP="00D1480D">
      <w:pPr>
        <w:tabs>
          <w:tab w:val="left" w:pos="4500"/>
        </w:tabs>
        <w:jc w:val="right"/>
        <w:rPr>
          <w:lang w:val="uk-UA" w:eastAsia="uk-UA"/>
        </w:rPr>
      </w:pP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Порядок </w:t>
      </w: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Проведення конкурсу на визначення кращих ініціатив жителів </w:t>
      </w:r>
      <w:r>
        <w:rPr>
          <w:b/>
          <w:bCs/>
          <w:sz w:val="28"/>
          <w:szCs w:val="28"/>
          <w:lang w:val="uk-UA"/>
        </w:rPr>
        <w:br/>
        <w:t xml:space="preserve">Люблинецької територіальної громади </w:t>
      </w:r>
    </w:p>
    <w:p w:rsidR="00E86920" w:rsidRDefault="00E86920" w:rsidP="00D1480D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Організаційне забезпечення Конкурсу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Організаційне забезпечення Конкурсу здійснюється конкурсною комісією.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Конкурсна комісія є вищим органом, який здійснює загальне керівництво щодо організації та проведення Конкурсу, а також визначає його переможців. Персональний склад конкурсної комісії затверджується розпорядженням селищного голови.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До складу Конкурсної комісії можуть входити депутати ради, представники органу місцевого самоврядування, представники виконавчого комітету ради, громадські організації, незалежні експерти.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Конкурсна комісія здійснює свої повноваження на громадських засадах.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Конкурсна комісія: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затверджує план здійснення необхідних організаційно-технічних заходів з проведення Конкурсу;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проводить конкурс, визначає переможців Конкурсу, а також надає рекомендації про фінансування проектів;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надає консультаційну та організаційну підтримку з питань проведення Конкурсу.</w:t>
      </w:r>
    </w:p>
    <w:p w:rsidR="00E86920" w:rsidRDefault="00E86920" w:rsidP="00D1480D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Процедура проведення Конкурсу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  Підставою для оголошення Конкурсу є рішення конкурсної комісії.</w:t>
      </w:r>
    </w:p>
    <w:p w:rsidR="00E86920" w:rsidRDefault="00E86920" w:rsidP="00D1480D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Проекти на Конкурс подають ініціативні групи, громадські об’єднання (ГО), органи самоорганізації населення (ОСН).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Вимоги, що пред’являються заявникам: 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9"/>
        <w:gridCol w:w="4782"/>
      </w:tblGrid>
      <w:tr w:rsidR="00E86920">
        <w:tc>
          <w:tcPr>
            <w:tcW w:w="4927" w:type="dxa"/>
          </w:tcPr>
          <w:p w:rsidR="00E86920" w:rsidRDefault="00E86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ГО та ОСН</w:t>
            </w:r>
          </w:p>
        </w:tc>
        <w:tc>
          <w:tcPr>
            <w:tcW w:w="4928" w:type="dxa"/>
          </w:tcPr>
          <w:p w:rsidR="00E86920" w:rsidRDefault="00E86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ініціативних груп</w:t>
            </w:r>
          </w:p>
        </w:tc>
      </w:tr>
      <w:tr w:rsidR="00E86920">
        <w:tc>
          <w:tcPr>
            <w:tcW w:w="4927" w:type="dxa"/>
          </w:tcPr>
          <w:p w:rsidR="00E86920" w:rsidRDefault="00E869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наявність зареєстрованої юридичної особи;</w:t>
            </w:r>
          </w:p>
          <w:p w:rsidR="00E86920" w:rsidRDefault="00E869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наявність розрахункового рахунку в банку;</w:t>
            </w:r>
          </w:p>
          <w:p w:rsidR="00E86920" w:rsidRDefault="00E869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знаходження юридичної особи поза межами ліквідації та реорганізації.</w:t>
            </w:r>
          </w:p>
        </w:tc>
        <w:tc>
          <w:tcPr>
            <w:tcW w:w="4928" w:type="dxa"/>
          </w:tcPr>
          <w:p w:rsidR="00E86920" w:rsidRDefault="00E869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 склад ініціативної групи не менше трьох осіб;</w:t>
            </w:r>
          </w:p>
          <w:p w:rsidR="00E86920" w:rsidRDefault="00E869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* відповідальна особа (підписувач договору) досягла 18 річного віку та є громадянином України. </w:t>
            </w:r>
          </w:p>
        </w:tc>
      </w:tr>
    </w:tbl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2.4. Вимоги до написання та подання проектів та форма проектної заявки є невід'ємними додатками даної Програми.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підготовки проектів їх розробники мають право звертатися, у разі потреби, до конкурсної комісії для одержання додаткової інформації.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необхідності, конкурсна комісія  може організувати навчальні семінари із написання проектів.</w:t>
      </w:r>
    </w:p>
    <w:p w:rsidR="00E86920" w:rsidRDefault="00E86920" w:rsidP="000727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Реєстрація проектів, що беруть участь у Конкурсі, здійснюється 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 конкурсних заявок починається з дня його оголошення. 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Підставою для відмови у реєстрації конкурсної заявки, є: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невідповідність змісту проекту основним напрямам, умовам проведення Конкурсу, вимогам щодо їх розробки;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недотримання умов Конкурсу щодо комплектності поданих документів;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порушення інших умов, визначених у тексті оголошення про Конкурс.</w:t>
      </w:r>
    </w:p>
    <w:p w:rsidR="00E86920" w:rsidRDefault="00E86920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Конкурсна документація, що надійшла після кінцевої дати її подання, зазначеної в оголошенні про проведення конкурсу, не розглядається.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Розгляд конкурсних пропозицій комісія починає після закінчення строку їх подання.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. Робота конкурсної комісії здійснюється у формі засідань. 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вважається правомочним за умови участі в ньому більшості від загального складу комісії. 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є відкритим, окрім прийняття рішень. На засідання комісії запрошується представники усіх учасників, які подали заявку на участь у конкурсі. 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uk-UA"/>
        </w:rPr>
        <w:t xml:space="preserve">. Оцінка проектів здійснюється за такими критеріями: 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відповідність проекту формі заявки;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відповідність основним напрямкам, за якими розробляється проект;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ступінь актуальності проблеми для громади; </w:t>
      </w:r>
    </w:p>
    <w:p w:rsidR="00E86920" w:rsidRDefault="00E86920" w:rsidP="00D1480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- реалістичність і досяжність цілей проекту; 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наявність чіткого плану реалізації проекту; 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залучення до реалізації проєкту місцевих жителів, ініціативних груп; </w:t>
      </w:r>
    </w:p>
    <w:p w:rsidR="00E86920" w:rsidRDefault="00E86920" w:rsidP="00D1480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- реалістичність і обґрунтованість витрат за проєктом; 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співвідношення запрошуваних та власних засобів для реалізації проекту;</w:t>
      </w:r>
    </w:p>
    <w:p w:rsidR="00E86920" w:rsidRDefault="00E86920" w:rsidP="00D1480D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можливий зв’язок із іншими діючими чи завершеними проектами.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>.10</w:t>
      </w:r>
      <w:r>
        <w:rPr>
          <w:color w:val="000000"/>
          <w:sz w:val="28"/>
          <w:szCs w:val="28"/>
          <w:lang w:val="uk-UA"/>
        </w:rPr>
        <w:t>. Всі рішення конкурсної комісії оформляються протоколом, який підписується всіма присутніми членами конкурсної комісії</w:t>
      </w:r>
      <w:r>
        <w:rPr>
          <w:color w:val="000000"/>
          <w:sz w:val="28"/>
          <w:szCs w:val="28"/>
        </w:rPr>
        <w:t xml:space="preserve">. </w:t>
      </w:r>
    </w:p>
    <w:p w:rsidR="00E86920" w:rsidRDefault="00E86920" w:rsidP="00D1480D">
      <w:pPr>
        <w:pStyle w:val="BodyTextIndent"/>
        <w:shd w:val="clear" w:color="auto" w:fill="FFFFFF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. У разі потреби отримання додаткової інформації щодо </w:t>
      </w:r>
      <w:r>
        <w:rPr>
          <w:sz w:val="28"/>
          <w:szCs w:val="28"/>
        </w:rPr>
        <w:t>проекту</w:t>
      </w:r>
      <w:r>
        <w:rPr>
          <w:sz w:val="28"/>
          <w:szCs w:val="28"/>
          <w:lang w:val="uk-UA"/>
        </w:rPr>
        <w:t xml:space="preserve"> комісія має право заслуховувати на своїх засіданнях пояснення учасників Конкурсу.</w:t>
      </w:r>
    </w:p>
    <w:p w:rsidR="00E86920" w:rsidRDefault="00E86920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2.12. Конкурсна комісія повідомляє учасників Конкурсу про його результати не пізніше 10 робочих днів після визначення переможців.</w:t>
      </w:r>
    </w:p>
    <w:p w:rsidR="00E86920" w:rsidRDefault="00E86920" w:rsidP="00D1480D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E86920" w:rsidRDefault="00E86920" w:rsidP="00D1480D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Контроль та звітність конкурсу</w:t>
      </w:r>
    </w:p>
    <w:p w:rsidR="00E86920" w:rsidRDefault="00E86920" w:rsidP="00D1480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3.1.По завершенню виконання проєкту переможці готують описовий та фінансовий звіти, які подаються у селищну раду.</w:t>
      </w:r>
    </w:p>
    <w:p w:rsidR="00E86920" w:rsidRDefault="00E86920" w:rsidP="00D1480D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Звіт має містити опис робіт, виконаних за проєктом, досягнуті результати, а також інформацію про залучення до виконання проєкту інших ресурсів у формі коштів, майна, безкоштовної трудової участі, тощо. </w:t>
      </w: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Виконання Програми </w:t>
      </w:r>
    </w:p>
    <w:p w:rsidR="00E86920" w:rsidRDefault="00E86920" w:rsidP="00D1480D">
      <w:pPr>
        <w:jc w:val="both"/>
        <w:rPr>
          <w:sz w:val="28"/>
          <w:szCs w:val="28"/>
          <w:lang w:val="uk-UA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9"/>
        <w:gridCol w:w="993"/>
        <w:gridCol w:w="1135"/>
        <w:gridCol w:w="993"/>
        <w:gridCol w:w="1277"/>
        <w:gridCol w:w="1135"/>
        <w:gridCol w:w="851"/>
      </w:tblGrid>
      <w:tr w:rsidR="00E86920">
        <w:tc>
          <w:tcPr>
            <w:tcW w:w="568" w:type="dxa"/>
            <w:vMerge w:val="restart"/>
            <w:vAlign w:val="center"/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977" w:type="dxa"/>
            <w:vMerge w:val="restart"/>
            <w:vAlign w:val="center"/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реалізованої</w:t>
            </w:r>
          </w:p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ініціативи</w:t>
            </w:r>
          </w:p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(ПІБ автора)</w:t>
            </w:r>
          </w:p>
        </w:tc>
        <w:tc>
          <w:tcPr>
            <w:tcW w:w="2126" w:type="dxa"/>
            <w:gridSpan w:val="2"/>
            <w:vAlign w:val="center"/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реалізації, місяців</w:t>
            </w:r>
          </w:p>
        </w:tc>
        <w:tc>
          <w:tcPr>
            <w:tcW w:w="2268" w:type="dxa"/>
            <w:gridSpan w:val="2"/>
            <w:vAlign w:val="center"/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Плановий обсяг витрат на реалізацію, тис.грн.</w:t>
            </w:r>
          </w:p>
        </w:tc>
        <w:tc>
          <w:tcPr>
            <w:tcW w:w="1984" w:type="dxa"/>
            <w:gridSpan w:val="2"/>
            <w:vAlign w:val="center"/>
          </w:tcPr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Фактичні</w:t>
            </w:r>
          </w:p>
          <w:p w:rsidR="00E86920" w:rsidRDefault="00E86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на реалізацію, тис.грн.</w:t>
            </w:r>
          </w:p>
        </w:tc>
      </w:tr>
      <w:tr w:rsidR="00E86920">
        <w:trPr>
          <w:cantSplit/>
          <w:trHeight w:val="1579"/>
        </w:trPr>
        <w:tc>
          <w:tcPr>
            <w:tcW w:w="568" w:type="dxa"/>
            <w:vMerge/>
            <w:vAlign w:val="center"/>
          </w:tcPr>
          <w:p w:rsidR="00E86920" w:rsidRDefault="00E86920">
            <w:pPr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86920" w:rsidRDefault="00E86920">
            <w:pPr>
              <w:suppressAutoHyphens w:val="0"/>
              <w:rPr>
                <w:lang w:val="uk-UA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86920" w:rsidRDefault="00E86920">
            <w:pPr>
              <w:ind w:left="113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плановий</w:t>
            </w:r>
          </w:p>
        </w:tc>
        <w:tc>
          <w:tcPr>
            <w:tcW w:w="1134" w:type="dxa"/>
            <w:textDirection w:val="btLr"/>
            <w:vAlign w:val="center"/>
          </w:tcPr>
          <w:p w:rsidR="00E86920" w:rsidRDefault="00E8692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</w:t>
            </w:r>
          </w:p>
        </w:tc>
        <w:tc>
          <w:tcPr>
            <w:tcW w:w="992" w:type="dxa"/>
            <w:textDirection w:val="btLr"/>
            <w:vAlign w:val="center"/>
          </w:tcPr>
          <w:p w:rsidR="00E86920" w:rsidRDefault="00E8692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бюджету </w:t>
            </w:r>
          </w:p>
        </w:tc>
        <w:tc>
          <w:tcPr>
            <w:tcW w:w="1276" w:type="dxa"/>
            <w:textDirection w:val="btLr"/>
            <w:vAlign w:val="center"/>
          </w:tcPr>
          <w:p w:rsidR="00E86920" w:rsidRDefault="00E8692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коштів ініціативної групи</w:t>
            </w:r>
          </w:p>
        </w:tc>
        <w:tc>
          <w:tcPr>
            <w:tcW w:w="1134" w:type="dxa"/>
            <w:textDirection w:val="btLr"/>
            <w:vAlign w:val="center"/>
          </w:tcPr>
          <w:p w:rsidR="00E86920" w:rsidRDefault="00E8692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бюджету </w:t>
            </w:r>
          </w:p>
        </w:tc>
        <w:tc>
          <w:tcPr>
            <w:tcW w:w="850" w:type="dxa"/>
            <w:textDirection w:val="btLr"/>
            <w:vAlign w:val="center"/>
          </w:tcPr>
          <w:p w:rsidR="00E86920" w:rsidRDefault="00E8692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коштів ініціативної групи</w:t>
            </w:r>
          </w:p>
        </w:tc>
      </w:tr>
      <w:tr w:rsidR="00E86920">
        <w:tc>
          <w:tcPr>
            <w:tcW w:w="568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</w:tr>
      <w:tr w:rsidR="00E86920">
        <w:tc>
          <w:tcPr>
            <w:tcW w:w="568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</w:tr>
      <w:tr w:rsidR="00E86920">
        <w:tc>
          <w:tcPr>
            <w:tcW w:w="568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E86920" w:rsidRDefault="00E86920">
            <w:pPr>
              <w:jc w:val="both"/>
              <w:rPr>
                <w:lang w:val="uk-UA"/>
              </w:rPr>
            </w:pPr>
          </w:p>
        </w:tc>
      </w:tr>
    </w:tbl>
    <w:p w:rsidR="00E86920" w:rsidRDefault="00E86920" w:rsidP="00D1480D">
      <w:pPr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jc w:val="both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 w:rsidP="00D1480D">
      <w:pPr>
        <w:jc w:val="right"/>
        <w:rPr>
          <w:sz w:val="28"/>
          <w:szCs w:val="28"/>
          <w:lang w:val="uk-UA"/>
        </w:rPr>
      </w:pPr>
    </w:p>
    <w:p w:rsidR="00E86920" w:rsidRDefault="00E86920"/>
    <w:sectPr w:rsidR="00E86920" w:rsidSect="0058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8F1847"/>
    <w:multiLevelType w:val="hybridMultilevel"/>
    <w:tmpl w:val="C7EE92B4"/>
    <w:lvl w:ilvl="0" w:tplc="77C8CFA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DE3F1F"/>
    <w:multiLevelType w:val="hybridMultilevel"/>
    <w:tmpl w:val="6F6C0634"/>
    <w:lvl w:ilvl="0" w:tplc="AB5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11"/>
    <w:rsid w:val="000727CC"/>
    <w:rsid w:val="000D7E88"/>
    <w:rsid w:val="003421D9"/>
    <w:rsid w:val="003B4B82"/>
    <w:rsid w:val="00576E80"/>
    <w:rsid w:val="0058214C"/>
    <w:rsid w:val="00583211"/>
    <w:rsid w:val="00636770"/>
    <w:rsid w:val="006679D4"/>
    <w:rsid w:val="00CC2992"/>
    <w:rsid w:val="00D1480D"/>
    <w:rsid w:val="00D53E27"/>
    <w:rsid w:val="00D92EED"/>
    <w:rsid w:val="00E8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480D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3211"/>
    <w:pPr>
      <w:keepNext/>
      <w:keepLines/>
      <w:spacing w:before="360" w:after="80"/>
      <w:outlineLvl w:val="0"/>
    </w:pPr>
    <w:rPr>
      <w:rFonts w:ascii="Calibri Light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3211"/>
    <w:pPr>
      <w:keepNext/>
      <w:keepLines/>
      <w:spacing w:before="160" w:after="80"/>
      <w:outlineLvl w:val="1"/>
    </w:pPr>
    <w:rPr>
      <w:rFonts w:ascii="Calibri Light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3211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3211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3211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3211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3211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3211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3211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3211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3211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3211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3211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3211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83211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83211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83211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83211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583211"/>
    <w:pPr>
      <w:spacing w:after="80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83211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321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3211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58321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583211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583211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583211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321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83211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583211"/>
    <w:rPr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semiHidden/>
    <w:rsid w:val="00D1480D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semiHidden/>
    <w:rsid w:val="00D148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480D"/>
    <w:rPr>
      <w:rFonts w:ascii="Times New Roman" w:hAnsi="Times New Roman" w:cs="Times New Roman"/>
      <w:kern w:val="0"/>
      <w:lang w:val="ru-RU" w:eastAsia="zh-CN"/>
    </w:rPr>
  </w:style>
  <w:style w:type="paragraph" w:customStyle="1" w:styleId="Style2">
    <w:name w:val="Style2"/>
    <w:basedOn w:val="Normal"/>
    <w:uiPriority w:val="99"/>
    <w:rsid w:val="00D1480D"/>
    <w:pPr>
      <w:widowControl w:val="0"/>
      <w:autoSpaceDE w:val="0"/>
    </w:pPr>
  </w:style>
  <w:style w:type="paragraph" w:customStyle="1" w:styleId="a">
    <w:name w:val="Абзац списка"/>
    <w:basedOn w:val="Normal"/>
    <w:uiPriority w:val="99"/>
    <w:rsid w:val="00D1480D"/>
    <w:pPr>
      <w:suppressAutoHyphens w:val="0"/>
      <w:ind w:left="708"/>
    </w:pPr>
    <w:rPr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8</Pages>
  <Words>7736</Words>
  <Characters>4410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5</cp:revision>
  <dcterms:created xsi:type="dcterms:W3CDTF">2025-10-28T08:35:00Z</dcterms:created>
  <dcterms:modified xsi:type="dcterms:W3CDTF">2025-11-14T12:29:00Z</dcterms:modified>
</cp:coreProperties>
</file>