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86A4" w14:textId="1267D428" w:rsidR="00D37C4D" w:rsidRPr="00FB1F9F" w:rsidRDefault="00D37C4D" w:rsidP="00216BDD">
      <w:pPr>
        <w:spacing w:before="10" w:after="10" w:line="240" w:lineRule="auto"/>
        <w:ind w:left="284" w:right="284" w:firstLine="709"/>
        <w:jc w:val="both"/>
        <w:rPr>
          <w:rFonts w:ascii="Times New Roman" w:hAnsi="Times New Roman" w:cs="Times New Roman"/>
          <w:b/>
          <w:bCs/>
          <w:sz w:val="28"/>
          <w:szCs w:val="28"/>
        </w:rPr>
      </w:pPr>
      <w:r w:rsidRPr="00FB1F9F">
        <w:rPr>
          <w:rFonts w:ascii="Times New Roman" w:hAnsi="Times New Roman" w:cs="Times New Roman"/>
          <w:b/>
          <w:bCs/>
          <w:sz w:val="28"/>
          <w:szCs w:val="28"/>
        </w:rPr>
        <w:t xml:space="preserve">Аналіз регуляторного впливу: Аналіз регуляторного впливу </w:t>
      </w:r>
      <w:proofErr w:type="spellStart"/>
      <w:r w:rsidRPr="00FB1F9F">
        <w:rPr>
          <w:rFonts w:ascii="Times New Roman" w:hAnsi="Times New Roman" w:cs="Times New Roman"/>
          <w:b/>
          <w:bCs/>
          <w:sz w:val="28"/>
          <w:szCs w:val="28"/>
        </w:rPr>
        <w:t>проєкту</w:t>
      </w:r>
      <w:proofErr w:type="spellEnd"/>
      <w:r w:rsidRPr="00FB1F9F">
        <w:rPr>
          <w:rFonts w:ascii="Times New Roman" w:hAnsi="Times New Roman" w:cs="Times New Roman"/>
          <w:b/>
          <w:bCs/>
          <w:sz w:val="28"/>
          <w:szCs w:val="28"/>
        </w:rPr>
        <w:t> </w:t>
      </w:r>
      <w:bookmarkStart w:id="0" w:name="_Hlk180415981"/>
      <w:r w:rsidRPr="00FB1F9F">
        <w:rPr>
          <w:rFonts w:ascii="Times New Roman" w:hAnsi="Times New Roman" w:cs="Times New Roman"/>
          <w:b/>
          <w:bCs/>
          <w:sz w:val="28"/>
          <w:szCs w:val="28"/>
        </w:rPr>
        <w:t>рішення Люблинецької селищної ради «Про затвердження  </w:t>
      </w:r>
      <w:bookmarkStart w:id="1" w:name="_Hlk180414171"/>
      <w:bookmarkEnd w:id="0"/>
      <w:r w:rsidRPr="00FB1F9F">
        <w:rPr>
          <w:rFonts w:ascii="Times New Roman" w:hAnsi="Times New Roman" w:cs="Times New Roman"/>
          <w:b/>
          <w:bCs/>
          <w:sz w:val="28"/>
          <w:szCs w:val="28"/>
        </w:rPr>
        <w:t>Методики розрахунку орендної плати за майно </w:t>
      </w:r>
      <w:bookmarkEnd w:id="1"/>
      <w:r w:rsidRPr="00FB1F9F">
        <w:rPr>
          <w:rFonts w:ascii="Times New Roman" w:hAnsi="Times New Roman" w:cs="Times New Roman"/>
          <w:b/>
          <w:bCs/>
          <w:sz w:val="28"/>
          <w:szCs w:val="28"/>
        </w:rPr>
        <w:t>комунальної власності Люблинецької селищної  територіальної</w:t>
      </w:r>
      <w:r w:rsidR="00750A31" w:rsidRPr="00FB1F9F">
        <w:rPr>
          <w:rFonts w:ascii="Times New Roman" w:hAnsi="Times New Roman" w:cs="Times New Roman"/>
          <w:b/>
          <w:bCs/>
          <w:sz w:val="28"/>
          <w:szCs w:val="28"/>
        </w:rPr>
        <w:t xml:space="preserve"> громади</w:t>
      </w:r>
      <w:r w:rsidRPr="00FB1F9F">
        <w:rPr>
          <w:rFonts w:ascii="Times New Roman" w:hAnsi="Times New Roman" w:cs="Times New Roman"/>
          <w:b/>
          <w:bCs/>
          <w:sz w:val="28"/>
          <w:szCs w:val="28"/>
        </w:rPr>
        <w:t>» (</w:t>
      </w:r>
      <w:r w:rsidRPr="009E54D4">
        <w:rPr>
          <w:rFonts w:ascii="Times New Roman" w:hAnsi="Times New Roman" w:cs="Times New Roman"/>
          <w:b/>
          <w:bCs/>
          <w:sz w:val="28"/>
          <w:szCs w:val="28"/>
        </w:rPr>
        <w:t>далі-Методика</w:t>
      </w:r>
      <w:r w:rsidRPr="00FB1F9F">
        <w:rPr>
          <w:rFonts w:ascii="Times New Roman" w:hAnsi="Times New Roman" w:cs="Times New Roman"/>
          <w:b/>
          <w:bCs/>
          <w:sz w:val="28"/>
          <w:szCs w:val="28"/>
        </w:rPr>
        <w:t>).</w:t>
      </w:r>
    </w:p>
    <w:p w14:paraId="18DC9E32" w14:textId="0F8F2D04" w:rsidR="00D37C4D" w:rsidRDefault="00D37C4D" w:rsidP="00216BDD">
      <w:pPr>
        <w:spacing w:before="10" w:after="10"/>
        <w:ind w:left="284" w:right="284" w:firstLine="567"/>
        <w:jc w:val="both"/>
        <w:rPr>
          <w:rFonts w:ascii="Times New Roman" w:hAnsi="Times New Roman" w:cs="Times New Roman"/>
          <w:sz w:val="28"/>
          <w:szCs w:val="28"/>
        </w:rPr>
      </w:pPr>
      <w:r>
        <w:rPr>
          <w:rFonts w:ascii="Times New Roman" w:hAnsi="Times New Roman" w:cs="Times New Roman"/>
          <w:sz w:val="28"/>
          <w:szCs w:val="28"/>
        </w:rPr>
        <w:t xml:space="preserve">Аналіз регуляторного впливу до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w:t>
      </w:r>
      <w:r w:rsidRPr="00241857">
        <w:rPr>
          <w:rFonts w:ascii="Times New Roman" w:hAnsi="Times New Roman" w:cs="Times New Roman"/>
          <w:sz w:val="28"/>
          <w:szCs w:val="28"/>
        </w:rPr>
        <w:t>Люблинецької селищної ради «Про затвердження  Методики розрахунку орендної плати за майно комунальної власності Люблинецької селищної  територіальної»</w:t>
      </w:r>
      <w:r w:rsidRPr="00D37C4D">
        <w:rPr>
          <w:rFonts w:ascii="Times New Roman" w:hAnsi="Times New Roman" w:cs="Times New Roman"/>
          <w:b/>
          <w:sz w:val="24"/>
          <w:szCs w:val="24"/>
        </w:rPr>
        <w:t xml:space="preserve"> </w:t>
      </w:r>
      <w:r>
        <w:rPr>
          <w:rFonts w:ascii="Times New Roman" w:hAnsi="Times New Roman" w:cs="Times New Roman"/>
          <w:sz w:val="28"/>
          <w:szCs w:val="28"/>
        </w:rPr>
        <w:t xml:space="preserve"> підготовлений відповідно до </w:t>
      </w:r>
      <w:r w:rsidRPr="00AA6047">
        <w:rPr>
          <w:rFonts w:ascii="Times New Roman" w:hAnsi="Times New Roman" w:cs="Times New Roman"/>
          <w:sz w:val="28"/>
          <w:szCs w:val="28"/>
        </w:rPr>
        <w:t>ст. 26 Закону України “Про місцеве самоврядування в Україні”, Закону України “Про оренду державного та комунального майна” № 157-ІХ від 3 жовтня 2019 рок</w:t>
      </w:r>
      <w:r w:rsidR="00AA6047">
        <w:rPr>
          <w:rFonts w:ascii="Times New Roman" w:hAnsi="Times New Roman" w:cs="Times New Roman"/>
          <w:sz w:val="28"/>
          <w:szCs w:val="28"/>
        </w:rPr>
        <w:t>у</w:t>
      </w:r>
      <w:r w:rsidRPr="00AA6047">
        <w:rPr>
          <w:rFonts w:ascii="Times New Roman" w:hAnsi="Times New Roman" w:cs="Times New Roman"/>
          <w:sz w:val="28"/>
          <w:szCs w:val="28"/>
        </w:rPr>
        <w:t>, Постанови Кабінету Міністрів України від 3 червня 2020 року № 483 “Деякі питання оренди державного та комунального майна”, Постанови Кабінету Міністрів України від 28 квітня 2021 року № 630 “Деякі питання розрахунку орендної плати за державне майно”,</w:t>
      </w:r>
      <w:r>
        <w:rPr>
          <w:rFonts w:ascii="Times New Roman" w:hAnsi="Times New Roman" w:cs="Times New Roman"/>
          <w:sz w:val="28"/>
          <w:szCs w:val="28"/>
        </w:rPr>
        <w:t xml:space="preserve"> з метою удосконалення порядку надання в оренду майна, що належить до комунальної власності </w:t>
      </w:r>
      <w:r w:rsidR="00750A31">
        <w:rPr>
          <w:rFonts w:ascii="Times New Roman" w:hAnsi="Times New Roman" w:cs="Times New Roman"/>
          <w:sz w:val="28"/>
          <w:szCs w:val="28"/>
        </w:rPr>
        <w:t xml:space="preserve">Люблинецької </w:t>
      </w:r>
      <w:r w:rsidR="00750A31" w:rsidRPr="00750A31">
        <w:rPr>
          <w:rFonts w:ascii="Times New Roman" w:hAnsi="Times New Roman" w:cs="Times New Roman"/>
          <w:sz w:val="28"/>
          <w:szCs w:val="28"/>
        </w:rPr>
        <w:t>селищної  територіальної громади</w:t>
      </w:r>
      <w:r>
        <w:rPr>
          <w:rFonts w:ascii="Times New Roman" w:hAnsi="Times New Roman" w:cs="Times New Roman"/>
          <w:sz w:val="28"/>
          <w:szCs w:val="28"/>
        </w:rPr>
        <w:t xml:space="preserve"> та підвищення ефективності використання об’єктів комунальної власності.</w:t>
      </w:r>
    </w:p>
    <w:p w14:paraId="6F22781E" w14:textId="0151CF03" w:rsidR="008C4370" w:rsidRDefault="00D37C4D" w:rsidP="00216BDD">
      <w:pPr>
        <w:spacing w:before="10" w:after="10"/>
        <w:ind w:left="284" w:right="284"/>
        <w:jc w:val="center"/>
        <w:rPr>
          <w:rFonts w:ascii="Times New Roman" w:hAnsi="Times New Roman" w:cs="Times New Roman"/>
          <w:b/>
          <w:sz w:val="28"/>
          <w:szCs w:val="28"/>
        </w:rPr>
      </w:pPr>
      <w:r>
        <w:rPr>
          <w:rFonts w:ascii="Times New Roman" w:hAnsi="Times New Roman" w:cs="Times New Roman"/>
          <w:b/>
          <w:sz w:val="28"/>
          <w:szCs w:val="28"/>
        </w:rPr>
        <w:t xml:space="preserve">І. </w:t>
      </w:r>
      <w:r w:rsidRPr="00B6481C">
        <w:rPr>
          <w:rFonts w:ascii="Times New Roman" w:hAnsi="Times New Roman" w:cs="Times New Roman"/>
          <w:b/>
          <w:sz w:val="28"/>
          <w:szCs w:val="28"/>
        </w:rPr>
        <w:t>Визначення проблеми</w:t>
      </w:r>
    </w:p>
    <w:p w14:paraId="14B688F9" w14:textId="77777777" w:rsidR="00032D12" w:rsidRDefault="00032D12" w:rsidP="00216BDD">
      <w:pPr>
        <w:pStyle w:val="ae"/>
        <w:spacing w:before="10" w:after="10"/>
        <w:ind w:left="284" w:right="284" w:firstLine="720"/>
        <w:jc w:val="both"/>
        <w:rPr>
          <w:kern w:val="0"/>
          <w:sz w:val="28"/>
          <w:szCs w:val="28"/>
          <w:lang w:val="uk-UA" w:eastAsia="en-US"/>
          <w14:ligatures w14:val="none"/>
        </w:rPr>
      </w:pPr>
      <w:r w:rsidRPr="00032D12">
        <w:rPr>
          <w:kern w:val="0"/>
          <w:sz w:val="28"/>
          <w:szCs w:val="28"/>
          <w:lang w:val="uk-UA" w:eastAsia="en-US"/>
          <w14:ligatures w14:val="none"/>
        </w:rPr>
        <w:t>Частиною другої статті 17 Закону України від 03 жовтня 2019 року</w:t>
      </w:r>
      <w:r w:rsidRPr="00032D12">
        <w:rPr>
          <w:kern w:val="0"/>
          <w:sz w:val="28"/>
          <w:szCs w:val="28"/>
          <w:lang w:val="uk-UA" w:eastAsia="en-US"/>
          <w14:ligatures w14:val="none"/>
        </w:rPr>
        <w:br/>
        <w:t>№ 157-ІХ «Про оренду державного та комунального майна» (далі – Закон) визначено, що у разі передачі майна в оренду без проведення аукціону орендна плата визначається відповідно до Методики розрахунку орендної плати, яка затверджується представницьким органом місцевого самоврядування щодо комунального майна.</w:t>
      </w:r>
    </w:p>
    <w:p w14:paraId="64DDF3CC" w14:textId="7116DA03" w:rsidR="00032D12" w:rsidRPr="00032D12" w:rsidRDefault="00032D12" w:rsidP="00216BDD">
      <w:pPr>
        <w:pStyle w:val="ae"/>
        <w:spacing w:before="10" w:after="10"/>
        <w:ind w:left="284" w:right="284" w:firstLine="720"/>
        <w:jc w:val="both"/>
        <w:rPr>
          <w:kern w:val="0"/>
          <w:sz w:val="28"/>
          <w:szCs w:val="28"/>
          <w:lang w:val="uk-UA" w:eastAsia="en-US"/>
          <w14:ligatures w14:val="none"/>
        </w:rPr>
      </w:pPr>
      <w:proofErr w:type="spellStart"/>
      <w:r w:rsidRPr="00C52690">
        <w:rPr>
          <w:sz w:val="28"/>
          <w:szCs w:val="28"/>
        </w:rPr>
        <w:t>Слід</w:t>
      </w:r>
      <w:proofErr w:type="spellEnd"/>
      <w:r w:rsidRPr="00C52690">
        <w:rPr>
          <w:sz w:val="28"/>
          <w:szCs w:val="28"/>
        </w:rPr>
        <w:t xml:space="preserve"> </w:t>
      </w:r>
      <w:proofErr w:type="spellStart"/>
      <w:r w:rsidRPr="00C52690">
        <w:rPr>
          <w:sz w:val="28"/>
          <w:szCs w:val="28"/>
        </w:rPr>
        <w:t>відмітити</w:t>
      </w:r>
      <w:proofErr w:type="spellEnd"/>
      <w:r w:rsidRPr="00C52690">
        <w:rPr>
          <w:sz w:val="28"/>
          <w:szCs w:val="28"/>
        </w:rPr>
        <w:t xml:space="preserve">, </w:t>
      </w:r>
      <w:proofErr w:type="spellStart"/>
      <w:r w:rsidRPr="00C52690">
        <w:rPr>
          <w:sz w:val="28"/>
          <w:szCs w:val="28"/>
        </w:rPr>
        <w:t>що</w:t>
      </w:r>
      <w:proofErr w:type="spellEnd"/>
      <w:r w:rsidRPr="00C52690">
        <w:rPr>
          <w:sz w:val="28"/>
          <w:szCs w:val="28"/>
        </w:rPr>
        <w:t xml:space="preserve"> у </w:t>
      </w:r>
      <w:proofErr w:type="spellStart"/>
      <w:r w:rsidRPr="00C52690">
        <w:rPr>
          <w:sz w:val="28"/>
          <w:szCs w:val="28"/>
        </w:rPr>
        <w:t>зв’язку</w:t>
      </w:r>
      <w:proofErr w:type="spellEnd"/>
      <w:r w:rsidRPr="00C52690">
        <w:rPr>
          <w:sz w:val="28"/>
          <w:szCs w:val="28"/>
        </w:rPr>
        <w:t xml:space="preserve"> з </w:t>
      </w:r>
      <w:proofErr w:type="spellStart"/>
      <w:r w:rsidRPr="00C52690">
        <w:rPr>
          <w:sz w:val="28"/>
          <w:szCs w:val="28"/>
        </w:rPr>
        <w:t>введенням</w:t>
      </w:r>
      <w:proofErr w:type="spellEnd"/>
      <w:r w:rsidRPr="00C52690">
        <w:rPr>
          <w:sz w:val="28"/>
          <w:szCs w:val="28"/>
        </w:rPr>
        <w:t xml:space="preserve"> в </w:t>
      </w:r>
      <w:proofErr w:type="spellStart"/>
      <w:r w:rsidRPr="00C52690">
        <w:rPr>
          <w:sz w:val="28"/>
          <w:szCs w:val="28"/>
        </w:rPr>
        <w:t>дію</w:t>
      </w:r>
      <w:proofErr w:type="spellEnd"/>
      <w:r w:rsidRPr="00C52690">
        <w:rPr>
          <w:sz w:val="28"/>
          <w:szCs w:val="28"/>
        </w:rPr>
        <w:t xml:space="preserve"> Закону Методика </w:t>
      </w:r>
      <w:proofErr w:type="spellStart"/>
      <w:r w:rsidRPr="00C52690">
        <w:rPr>
          <w:sz w:val="28"/>
          <w:szCs w:val="28"/>
        </w:rPr>
        <w:t>розрахунку</w:t>
      </w:r>
      <w:proofErr w:type="spellEnd"/>
      <w:r w:rsidRPr="00C52690">
        <w:rPr>
          <w:sz w:val="28"/>
          <w:szCs w:val="28"/>
        </w:rPr>
        <w:t xml:space="preserve"> </w:t>
      </w:r>
      <w:proofErr w:type="spellStart"/>
      <w:r w:rsidRPr="00C52690">
        <w:rPr>
          <w:sz w:val="28"/>
          <w:szCs w:val="28"/>
        </w:rPr>
        <w:t>орендної</w:t>
      </w:r>
      <w:proofErr w:type="spellEnd"/>
      <w:r w:rsidRPr="00C52690">
        <w:rPr>
          <w:sz w:val="28"/>
          <w:szCs w:val="28"/>
        </w:rPr>
        <w:t xml:space="preserve"> плати за </w:t>
      </w:r>
      <w:proofErr w:type="spellStart"/>
      <w:r w:rsidRPr="00C52690">
        <w:rPr>
          <w:sz w:val="28"/>
          <w:szCs w:val="28"/>
        </w:rPr>
        <w:t>майно</w:t>
      </w:r>
      <w:proofErr w:type="spellEnd"/>
      <w:r w:rsidRPr="00C52690">
        <w:rPr>
          <w:sz w:val="28"/>
          <w:szCs w:val="28"/>
        </w:rPr>
        <w:t xml:space="preserve"> </w:t>
      </w:r>
      <w:r>
        <w:rPr>
          <w:sz w:val="28"/>
          <w:szCs w:val="28"/>
        </w:rPr>
        <w:t xml:space="preserve">Люблинецької </w:t>
      </w:r>
      <w:proofErr w:type="spellStart"/>
      <w:r>
        <w:rPr>
          <w:sz w:val="28"/>
          <w:szCs w:val="28"/>
        </w:rPr>
        <w:t>селищної</w:t>
      </w:r>
      <w:proofErr w:type="spellEnd"/>
      <w:r>
        <w:rPr>
          <w:sz w:val="28"/>
          <w:szCs w:val="28"/>
        </w:rPr>
        <w:t xml:space="preserve"> </w:t>
      </w:r>
      <w:proofErr w:type="spellStart"/>
      <w:r w:rsidRPr="00C52690">
        <w:rPr>
          <w:sz w:val="28"/>
          <w:szCs w:val="28"/>
        </w:rPr>
        <w:t>територіальної</w:t>
      </w:r>
      <w:proofErr w:type="spellEnd"/>
      <w:r w:rsidRPr="00C52690">
        <w:rPr>
          <w:sz w:val="28"/>
          <w:szCs w:val="28"/>
        </w:rPr>
        <w:t xml:space="preserve"> </w:t>
      </w:r>
      <w:proofErr w:type="spellStart"/>
      <w:r w:rsidRPr="00C52690">
        <w:rPr>
          <w:sz w:val="28"/>
          <w:szCs w:val="28"/>
        </w:rPr>
        <w:t>громади</w:t>
      </w:r>
      <w:proofErr w:type="spellEnd"/>
      <w:r w:rsidRPr="00C52690">
        <w:rPr>
          <w:sz w:val="28"/>
          <w:szCs w:val="28"/>
        </w:rPr>
        <w:t xml:space="preserve">, яке </w:t>
      </w:r>
      <w:proofErr w:type="spellStart"/>
      <w:r w:rsidRPr="00C52690">
        <w:rPr>
          <w:sz w:val="28"/>
          <w:szCs w:val="28"/>
        </w:rPr>
        <w:t>передається</w:t>
      </w:r>
      <w:proofErr w:type="spellEnd"/>
      <w:r w:rsidRPr="00C52690">
        <w:rPr>
          <w:sz w:val="28"/>
          <w:szCs w:val="28"/>
        </w:rPr>
        <w:t xml:space="preserve"> в </w:t>
      </w:r>
      <w:proofErr w:type="spellStart"/>
      <w:r w:rsidRPr="00C52690">
        <w:rPr>
          <w:sz w:val="28"/>
          <w:szCs w:val="28"/>
        </w:rPr>
        <w:t>оренду</w:t>
      </w:r>
      <w:proofErr w:type="spellEnd"/>
      <w:r w:rsidRPr="00C52690">
        <w:rPr>
          <w:sz w:val="28"/>
          <w:szCs w:val="28"/>
        </w:rPr>
        <w:t xml:space="preserve">, </w:t>
      </w:r>
      <w:proofErr w:type="spellStart"/>
      <w:r w:rsidRPr="00C52690">
        <w:rPr>
          <w:sz w:val="28"/>
          <w:szCs w:val="28"/>
        </w:rPr>
        <w:t>затверджена</w:t>
      </w:r>
      <w:proofErr w:type="spellEnd"/>
      <w:r w:rsidRPr="00C52690">
        <w:rPr>
          <w:sz w:val="28"/>
          <w:szCs w:val="28"/>
        </w:rPr>
        <w:t xml:space="preserve"> </w:t>
      </w:r>
      <w:proofErr w:type="spellStart"/>
      <w:r w:rsidRPr="00C52690">
        <w:rPr>
          <w:sz w:val="28"/>
          <w:szCs w:val="28"/>
        </w:rPr>
        <w:t>рішенням</w:t>
      </w:r>
      <w:proofErr w:type="spellEnd"/>
      <w:r w:rsidRPr="00C52690">
        <w:rPr>
          <w:sz w:val="28"/>
          <w:szCs w:val="28"/>
        </w:rPr>
        <w:t xml:space="preserve"> </w:t>
      </w:r>
      <w:r>
        <w:rPr>
          <w:sz w:val="28"/>
          <w:szCs w:val="28"/>
        </w:rPr>
        <w:t xml:space="preserve">Люблинецької </w:t>
      </w:r>
      <w:proofErr w:type="spellStart"/>
      <w:r>
        <w:rPr>
          <w:sz w:val="28"/>
          <w:szCs w:val="28"/>
        </w:rPr>
        <w:t>селищної</w:t>
      </w:r>
      <w:proofErr w:type="spellEnd"/>
      <w:r w:rsidRPr="00C52690">
        <w:rPr>
          <w:sz w:val="28"/>
          <w:szCs w:val="28"/>
        </w:rPr>
        <w:t xml:space="preserve"> ради </w:t>
      </w:r>
      <w:proofErr w:type="spellStart"/>
      <w:r w:rsidRPr="0040277E">
        <w:rPr>
          <w:sz w:val="28"/>
          <w:szCs w:val="28"/>
        </w:rPr>
        <w:t>від</w:t>
      </w:r>
      <w:proofErr w:type="spellEnd"/>
      <w:r w:rsidRPr="0040277E">
        <w:rPr>
          <w:sz w:val="28"/>
          <w:szCs w:val="28"/>
        </w:rPr>
        <w:t xml:space="preserve"> 15 березня 2007 року № 8/4 «Про </w:t>
      </w:r>
      <w:proofErr w:type="spellStart"/>
      <w:r w:rsidRPr="0040277E">
        <w:rPr>
          <w:sz w:val="28"/>
          <w:szCs w:val="28"/>
        </w:rPr>
        <w:t>окремі</w:t>
      </w:r>
      <w:proofErr w:type="spellEnd"/>
      <w:r w:rsidRPr="0040277E">
        <w:rPr>
          <w:sz w:val="28"/>
          <w:szCs w:val="28"/>
        </w:rPr>
        <w:t xml:space="preserve"> </w:t>
      </w:r>
      <w:proofErr w:type="spellStart"/>
      <w:r w:rsidRPr="0040277E">
        <w:rPr>
          <w:sz w:val="28"/>
          <w:szCs w:val="28"/>
        </w:rPr>
        <w:t>питання</w:t>
      </w:r>
      <w:proofErr w:type="spellEnd"/>
      <w:r w:rsidRPr="0040277E">
        <w:rPr>
          <w:sz w:val="28"/>
          <w:szCs w:val="28"/>
        </w:rPr>
        <w:t xml:space="preserve"> </w:t>
      </w:r>
      <w:proofErr w:type="spellStart"/>
      <w:r w:rsidRPr="0040277E">
        <w:rPr>
          <w:sz w:val="28"/>
          <w:szCs w:val="28"/>
        </w:rPr>
        <w:t>управління</w:t>
      </w:r>
      <w:proofErr w:type="spellEnd"/>
      <w:r w:rsidRPr="0040277E">
        <w:rPr>
          <w:sz w:val="28"/>
          <w:szCs w:val="28"/>
        </w:rPr>
        <w:t xml:space="preserve"> </w:t>
      </w:r>
      <w:proofErr w:type="spellStart"/>
      <w:r w:rsidRPr="0040277E">
        <w:rPr>
          <w:sz w:val="28"/>
          <w:szCs w:val="28"/>
        </w:rPr>
        <w:t>майном</w:t>
      </w:r>
      <w:proofErr w:type="spellEnd"/>
      <w:r w:rsidRPr="0040277E">
        <w:rPr>
          <w:sz w:val="28"/>
          <w:szCs w:val="28"/>
        </w:rPr>
        <w:t xml:space="preserve"> </w:t>
      </w:r>
      <w:proofErr w:type="spellStart"/>
      <w:r w:rsidRPr="0040277E">
        <w:rPr>
          <w:sz w:val="28"/>
          <w:szCs w:val="28"/>
        </w:rPr>
        <w:t>спільної</w:t>
      </w:r>
      <w:proofErr w:type="spellEnd"/>
      <w:r w:rsidRPr="0040277E">
        <w:rPr>
          <w:sz w:val="28"/>
          <w:szCs w:val="28"/>
        </w:rPr>
        <w:t xml:space="preserve"> </w:t>
      </w:r>
      <w:proofErr w:type="spellStart"/>
      <w:r w:rsidRPr="0040277E">
        <w:rPr>
          <w:sz w:val="28"/>
          <w:szCs w:val="28"/>
        </w:rPr>
        <w:t>власності</w:t>
      </w:r>
      <w:proofErr w:type="spellEnd"/>
      <w:r w:rsidRPr="0040277E">
        <w:rPr>
          <w:sz w:val="28"/>
          <w:szCs w:val="28"/>
        </w:rPr>
        <w:t xml:space="preserve"> </w:t>
      </w:r>
      <w:proofErr w:type="spellStart"/>
      <w:r w:rsidRPr="0040277E">
        <w:rPr>
          <w:sz w:val="28"/>
          <w:szCs w:val="28"/>
        </w:rPr>
        <w:t>територіальної</w:t>
      </w:r>
      <w:proofErr w:type="spellEnd"/>
      <w:r w:rsidRPr="0040277E">
        <w:rPr>
          <w:sz w:val="28"/>
          <w:szCs w:val="28"/>
        </w:rPr>
        <w:t xml:space="preserve"> </w:t>
      </w:r>
      <w:proofErr w:type="spellStart"/>
      <w:r w:rsidRPr="0040277E">
        <w:rPr>
          <w:sz w:val="28"/>
          <w:szCs w:val="28"/>
        </w:rPr>
        <w:t>громади</w:t>
      </w:r>
      <w:proofErr w:type="spellEnd"/>
      <w:r w:rsidRPr="0040277E">
        <w:rPr>
          <w:sz w:val="28"/>
          <w:szCs w:val="28"/>
        </w:rPr>
        <w:t xml:space="preserve"> </w:t>
      </w:r>
      <w:proofErr w:type="spellStart"/>
      <w:r w:rsidRPr="0040277E">
        <w:rPr>
          <w:sz w:val="28"/>
          <w:szCs w:val="28"/>
        </w:rPr>
        <w:t>селищної</w:t>
      </w:r>
      <w:proofErr w:type="spellEnd"/>
      <w:r w:rsidRPr="0040277E">
        <w:rPr>
          <w:sz w:val="28"/>
          <w:szCs w:val="28"/>
        </w:rPr>
        <w:t xml:space="preserve"> ради», </w:t>
      </w:r>
      <w:proofErr w:type="spellStart"/>
      <w:r w:rsidRPr="0040277E">
        <w:rPr>
          <w:sz w:val="28"/>
          <w:szCs w:val="28"/>
        </w:rPr>
        <w:t>діє</w:t>
      </w:r>
      <w:proofErr w:type="spellEnd"/>
      <w:r w:rsidRPr="0040277E">
        <w:rPr>
          <w:sz w:val="28"/>
          <w:szCs w:val="28"/>
        </w:rPr>
        <w:t xml:space="preserve"> </w:t>
      </w:r>
      <w:proofErr w:type="spellStart"/>
      <w:r w:rsidRPr="0040277E">
        <w:rPr>
          <w:sz w:val="28"/>
          <w:szCs w:val="28"/>
        </w:rPr>
        <w:t>лише</w:t>
      </w:r>
      <w:proofErr w:type="spellEnd"/>
      <w:r w:rsidRPr="0040277E">
        <w:rPr>
          <w:sz w:val="28"/>
          <w:szCs w:val="28"/>
        </w:rPr>
        <w:t xml:space="preserve"> в </w:t>
      </w:r>
      <w:proofErr w:type="spellStart"/>
      <w:r w:rsidRPr="0040277E">
        <w:rPr>
          <w:sz w:val="28"/>
          <w:szCs w:val="28"/>
        </w:rPr>
        <w:t>частині</w:t>
      </w:r>
      <w:proofErr w:type="spellEnd"/>
      <w:r w:rsidRPr="0040277E">
        <w:rPr>
          <w:sz w:val="28"/>
          <w:szCs w:val="28"/>
        </w:rPr>
        <w:t xml:space="preserve">, яка не </w:t>
      </w:r>
      <w:proofErr w:type="spellStart"/>
      <w:r w:rsidRPr="0040277E">
        <w:rPr>
          <w:sz w:val="28"/>
          <w:szCs w:val="28"/>
        </w:rPr>
        <w:t>суперечить</w:t>
      </w:r>
      <w:proofErr w:type="spellEnd"/>
      <w:r w:rsidRPr="0040277E">
        <w:rPr>
          <w:sz w:val="28"/>
          <w:szCs w:val="28"/>
        </w:rPr>
        <w:t xml:space="preserve"> </w:t>
      </w:r>
      <w:proofErr w:type="spellStart"/>
      <w:r w:rsidRPr="0040277E">
        <w:rPr>
          <w:sz w:val="28"/>
          <w:szCs w:val="28"/>
        </w:rPr>
        <w:t>вимогам</w:t>
      </w:r>
      <w:proofErr w:type="spellEnd"/>
      <w:r w:rsidRPr="0040277E">
        <w:rPr>
          <w:sz w:val="28"/>
          <w:szCs w:val="28"/>
        </w:rPr>
        <w:t xml:space="preserve"> Закону.</w:t>
      </w:r>
      <w:r w:rsidRPr="00C52690">
        <w:rPr>
          <w:sz w:val="28"/>
          <w:szCs w:val="28"/>
        </w:rPr>
        <w:t xml:space="preserve"> </w:t>
      </w:r>
    </w:p>
    <w:p w14:paraId="648132D1" w14:textId="77777777" w:rsidR="003C31B5" w:rsidRDefault="00032D12" w:rsidP="00216BDD">
      <w:pPr>
        <w:pStyle w:val="ae"/>
        <w:spacing w:before="10" w:after="10"/>
        <w:ind w:left="284" w:right="284" w:firstLine="720"/>
        <w:jc w:val="both"/>
        <w:rPr>
          <w:sz w:val="28"/>
          <w:szCs w:val="28"/>
          <w:lang w:val="uk-UA"/>
        </w:rPr>
      </w:pPr>
      <w:r w:rsidRPr="00032D12">
        <w:rPr>
          <w:sz w:val="28"/>
          <w:szCs w:val="28"/>
        </w:rPr>
        <w:t xml:space="preserve">Таким чином, передача </w:t>
      </w:r>
      <w:proofErr w:type="spellStart"/>
      <w:r w:rsidRPr="00032D12">
        <w:rPr>
          <w:sz w:val="28"/>
          <w:szCs w:val="28"/>
        </w:rPr>
        <w:t>комунального</w:t>
      </w:r>
      <w:proofErr w:type="spellEnd"/>
      <w:r w:rsidRPr="00032D12">
        <w:rPr>
          <w:sz w:val="28"/>
          <w:szCs w:val="28"/>
        </w:rPr>
        <w:t xml:space="preserve"> майна в </w:t>
      </w:r>
      <w:proofErr w:type="spellStart"/>
      <w:r w:rsidRPr="00032D12">
        <w:rPr>
          <w:sz w:val="28"/>
          <w:szCs w:val="28"/>
        </w:rPr>
        <w:t>оренду</w:t>
      </w:r>
      <w:proofErr w:type="spellEnd"/>
      <w:r w:rsidRPr="00032D12">
        <w:rPr>
          <w:sz w:val="28"/>
          <w:szCs w:val="28"/>
        </w:rPr>
        <w:t xml:space="preserve"> </w:t>
      </w:r>
      <w:proofErr w:type="spellStart"/>
      <w:r w:rsidRPr="00032D12">
        <w:rPr>
          <w:sz w:val="28"/>
          <w:szCs w:val="28"/>
        </w:rPr>
        <w:t>ускладнюється</w:t>
      </w:r>
      <w:proofErr w:type="spellEnd"/>
      <w:r w:rsidRPr="00032D12">
        <w:rPr>
          <w:sz w:val="28"/>
          <w:szCs w:val="28"/>
        </w:rPr>
        <w:t xml:space="preserve"> у </w:t>
      </w:r>
      <w:proofErr w:type="spellStart"/>
      <w:r w:rsidRPr="00032D12">
        <w:rPr>
          <w:sz w:val="28"/>
          <w:szCs w:val="28"/>
        </w:rPr>
        <w:t>зв’язку</w:t>
      </w:r>
      <w:proofErr w:type="spellEnd"/>
      <w:r w:rsidRPr="00032D12">
        <w:rPr>
          <w:sz w:val="28"/>
          <w:szCs w:val="28"/>
        </w:rPr>
        <w:t xml:space="preserve"> з </w:t>
      </w:r>
      <w:proofErr w:type="spellStart"/>
      <w:r w:rsidRPr="00032D12">
        <w:rPr>
          <w:sz w:val="28"/>
          <w:szCs w:val="28"/>
        </w:rPr>
        <w:t>відсутністю</w:t>
      </w:r>
      <w:proofErr w:type="spellEnd"/>
      <w:r w:rsidRPr="00032D12">
        <w:rPr>
          <w:sz w:val="28"/>
          <w:szCs w:val="28"/>
        </w:rPr>
        <w:t xml:space="preserve"> </w:t>
      </w:r>
      <w:proofErr w:type="spellStart"/>
      <w:r w:rsidRPr="00032D12">
        <w:rPr>
          <w:sz w:val="28"/>
          <w:szCs w:val="28"/>
        </w:rPr>
        <w:t>необхідних</w:t>
      </w:r>
      <w:proofErr w:type="spellEnd"/>
      <w:r w:rsidRPr="00032D12">
        <w:rPr>
          <w:sz w:val="28"/>
          <w:szCs w:val="28"/>
        </w:rPr>
        <w:t xml:space="preserve"> </w:t>
      </w:r>
      <w:proofErr w:type="spellStart"/>
      <w:r w:rsidRPr="00032D12">
        <w:rPr>
          <w:sz w:val="28"/>
          <w:szCs w:val="28"/>
        </w:rPr>
        <w:t>підзаконних</w:t>
      </w:r>
      <w:proofErr w:type="spellEnd"/>
      <w:r w:rsidRPr="00032D12">
        <w:rPr>
          <w:sz w:val="28"/>
          <w:szCs w:val="28"/>
        </w:rPr>
        <w:t xml:space="preserve"> </w:t>
      </w:r>
      <w:proofErr w:type="spellStart"/>
      <w:r w:rsidRPr="00032D12">
        <w:rPr>
          <w:sz w:val="28"/>
          <w:szCs w:val="28"/>
        </w:rPr>
        <w:t>актів</w:t>
      </w:r>
      <w:proofErr w:type="spellEnd"/>
      <w:r w:rsidRPr="00032D12">
        <w:rPr>
          <w:sz w:val="28"/>
          <w:szCs w:val="28"/>
        </w:rPr>
        <w:t xml:space="preserve"> </w:t>
      </w:r>
      <w:proofErr w:type="spellStart"/>
      <w:r w:rsidRPr="00032D12">
        <w:rPr>
          <w:sz w:val="28"/>
          <w:szCs w:val="28"/>
        </w:rPr>
        <w:t>які</w:t>
      </w:r>
      <w:proofErr w:type="spellEnd"/>
      <w:r w:rsidRPr="00032D12">
        <w:rPr>
          <w:sz w:val="28"/>
          <w:szCs w:val="28"/>
        </w:rPr>
        <w:t xml:space="preserve"> б </w:t>
      </w:r>
      <w:proofErr w:type="spellStart"/>
      <w:r w:rsidRPr="00032D12">
        <w:rPr>
          <w:sz w:val="28"/>
          <w:szCs w:val="28"/>
        </w:rPr>
        <w:t>деталізували</w:t>
      </w:r>
      <w:proofErr w:type="spellEnd"/>
      <w:r w:rsidRPr="00032D12">
        <w:rPr>
          <w:sz w:val="28"/>
          <w:szCs w:val="28"/>
        </w:rPr>
        <w:t xml:space="preserve"> </w:t>
      </w:r>
      <w:proofErr w:type="spellStart"/>
      <w:r w:rsidRPr="00032D12">
        <w:rPr>
          <w:sz w:val="28"/>
          <w:szCs w:val="28"/>
        </w:rPr>
        <w:t>положення</w:t>
      </w:r>
      <w:proofErr w:type="spellEnd"/>
      <w:r w:rsidRPr="00032D12">
        <w:rPr>
          <w:sz w:val="28"/>
          <w:szCs w:val="28"/>
        </w:rPr>
        <w:t xml:space="preserve"> Закону</w:t>
      </w:r>
      <w:r w:rsidR="003C31B5">
        <w:rPr>
          <w:sz w:val="28"/>
          <w:szCs w:val="28"/>
          <w:lang w:val="uk-UA"/>
        </w:rPr>
        <w:t xml:space="preserve"> та постала </w:t>
      </w:r>
      <w:r w:rsidRPr="00EC45D4">
        <w:rPr>
          <w:sz w:val="28"/>
          <w:szCs w:val="28"/>
        </w:rPr>
        <w:t xml:space="preserve">потреба в </w:t>
      </w:r>
      <w:proofErr w:type="spellStart"/>
      <w:r w:rsidRPr="00EC45D4">
        <w:rPr>
          <w:sz w:val="28"/>
          <w:szCs w:val="28"/>
        </w:rPr>
        <w:t>розробленні</w:t>
      </w:r>
      <w:proofErr w:type="spellEnd"/>
      <w:r w:rsidRPr="00EC45D4">
        <w:rPr>
          <w:sz w:val="28"/>
          <w:szCs w:val="28"/>
        </w:rPr>
        <w:t xml:space="preserve"> </w:t>
      </w:r>
      <w:proofErr w:type="spellStart"/>
      <w:r w:rsidRPr="00EC45D4">
        <w:rPr>
          <w:sz w:val="28"/>
          <w:szCs w:val="28"/>
        </w:rPr>
        <w:t>відповідного</w:t>
      </w:r>
      <w:proofErr w:type="spellEnd"/>
      <w:r w:rsidRPr="00EC45D4">
        <w:rPr>
          <w:sz w:val="28"/>
          <w:szCs w:val="28"/>
        </w:rPr>
        <w:t xml:space="preserve"> нормативного акт</w:t>
      </w:r>
      <w:r w:rsidR="00FB1F9F">
        <w:rPr>
          <w:sz w:val="28"/>
          <w:szCs w:val="28"/>
        </w:rPr>
        <w:t>у</w:t>
      </w:r>
      <w:r w:rsidR="00EC45D4">
        <w:rPr>
          <w:sz w:val="28"/>
          <w:szCs w:val="28"/>
        </w:rPr>
        <w:t xml:space="preserve">, </w:t>
      </w:r>
      <w:proofErr w:type="spellStart"/>
      <w:r w:rsidR="00EC45D4">
        <w:rPr>
          <w:sz w:val="28"/>
          <w:szCs w:val="28"/>
        </w:rPr>
        <w:t>який</w:t>
      </w:r>
      <w:proofErr w:type="spellEnd"/>
      <w:r w:rsidR="00EC45D4">
        <w:rPr>
          <w:sz w:val="28"/>
          <w:szCs w:val="28"/>
        </w:rPr>
        <w:t xml:space="preserve"> би </w:t>
      </w:r>
      <w:proofErr w:type="spellStart"/>
      <w:r w:rsidR="00EC45D4">
        <w:rPr>
          <w:sz w:val="28"/>
          <w:szCs w:val="28"/>
        </w:rPr>
        <w:t>регулював</w:t>
      </w:r>
      <w:proofErr w:type="spellEnd"/>
      <w:r w:rsidR="00EC45D4">
        <w:rPr>
          <w:sz w:val="28"/>
          <w:szCs w:val="28"/>
        </w:rPr>
        <w:t xml:space="preserve"> </w:t>
      </w:r>
      <w:proofErr w:type="spellStart"/>
      <w:r w:rsidR="00EC45D4">
        <w:rPr>
          <w:sz w:val="28"/>
          <w:szCs w:val="28"/>
        </w:rPr>
        <w:t>відносини</w:t>
      </w:r>
      <w:proofErr w:type="spellEnd"/>
      <w:r w:rsidR="00EC45D4">
        <w:rPr>
          <w:sz w:val="28"/>
          <w:szCs w:val="28"/>
        </w:rPr>
        <w:t xml:space="preserve"> в </w:t>
      </w:r>
      <w:proofErr w:type="spellStart"/>
      <w:r w:rsidR="00EC45D4">
        <w:rPr>
          <w:sz w:val="28"/>
          <w:szCs w:val="28"/>
        </w:rPr>
        <w:t>сфері</w:t>
      </w:r>
      <w:proofErr w:type="spellEnd"/>
      <w:r w:rsidR="00EC45D4">
        <w:rPr>
          <w:sz w:val="28"/>
          <w:szCs w:val="28"/>
        </w:rPr>
        <w:t xml:space="preserve"> </w:t>
      </w:r>
      <w:proofErr w:type="spellStart"/>
      <w:r w:rsidR="00EC45D4">
        <w:rPr>
          <w:sz w:val="28"/>
          <w:szCs w:val="28"/>
        </w:rPr>
        <w:t>визначення</w:t>
      </w:r>
      <w:proofErr w:type="spellEnd"/>
      <w:r w:rsidR="00EC45D4">
        <w:rPr>
          <w:sz w:val="28"/>
          <w:szCs w:val="28"/>
        </w:rPr>
        <w:t xml:space="preserve"> </w:t>
      </w:r>
      <w:proofErr w:type="spellStart"/>
      <w:r w:rsidR="00EC45D4">
        <w:rPr>
          <w:sz w:val="28"/>
          <w:szCs w:val="28"/>
        </w:rPr>
        <w:t>орендної</w:t>
      </w:r>
      <w:proofErr w:type="spellEnd"/>
      <w:r w:rsidR="00EC45D4">
        <w:rPr>
          <w:sz w:val="28"/>
          <w:szCs w:val="28"/>
        </w:rPr>
        <w:t xml:space="preserve"> плати за </w:t>
      </w:r>
      <w:proofErr w:type="spellStart"/>
      <w:r w:rsidR="00EC45D4">
        <w:rPr>
          <w:sz w:val="28"/>
          <w:szCs w:val="28"/>
        </w:rPr>
        <w:t>комунальне</w:t>
      </w:r>
      <w:proofErr w:type="spellEnd"/>
      <w:r w:rsidR="00EC45D4">
        <w:rPr>
          <w:sz w:val="28"/>
          <w:szCs w:val="28"/>
        </w:rPr>
        <w:t xml:space="preserve"> </w:t>
      </w:r>
      <w:proofErr w:type="spellStart"/>
      <w:r w:rsidR="00EC45D4">
        <w:rPr>
          <w:sz w:val="28"/>
          <w:szCs w:val="28"/>
        </w:rPr>
        <w:t>майно</w:t>
      </w:r>
      <w:proofErr w:type="spellEnd"/>
      <w:r w:rsidR="00EC45D4">
        <w:rPr>
          <w:sz w:val="28"/>
          <w:szCs w:val="28"/>
        </w:rPr>
        <w:t xml:space="preserve"> без </w:t>
      </w:r>
      <w:proofErr w:type="spellStart"/>
      <w:r w:rsidR="00EC45D4">
        <w:rPr>
          <w:sz w:val="28"/>
          <w:szCs w:val="28"/>
        </w:rPr>
        <w:t>проведення</w:t>
      </w:r>
      <w:proofErr w:type="spellEnd"/>
      <w:r w:rsidR="00EC45D4">
        <w:rPr>
          <w:sz w:val="28"/>
          <w:szCs w:val="28"/>
        </w:rPr>
        <w:t xml:space="preserve"> </w:t>
      </w:r>
      <w:proofErr w:type="spellStart"/>
      <w:r w:rsidR="00EC45D4">
        <w:rPr>
          <w:sz w:val="28"/>
          <w:szCs w:val="28"/>
        </w:rPr>
        <w:t>аукціону</w:t>
      </w:r>
      <w:proofErr w:type="spellEnd"/>
      <w:r w:rsidR="00EC45D4">
        <w:rPr>
          <w:sz w:val="28"/>
          <w:szCs w:val="28"/>
        </w:rPr>
        <w:t xml:space="preserve">. З метою </w:t>
      </w:r>
      <w:proofErr w:type="spellStart"/>
      <w:r w:rsidR="00EC45D4">
        <w:rPr>
          <w:sz w:val="28"/>
          <w:szCs w:val="28"/>
        </w:rPr>
        <w:t>створення</w:t>
      </w:r>
      <w:proofErr w:type="spellEnd"/>
      <w:r w:rsidR="00EC45D4">
        <w:rPr>
          <w:sz w:val="28"/>
          <w:szCs w:val="28"/>
        </w:rPr>
        <w:t xml:space="preserve"> </w:t>
      </w:r>
      <w:proofErr w:type="spellStart"/>
      <w:r w:rsidR="00EC45D4">
        <w:rPr>
          <w:sz w:val="28"/>
          <w:szCs w:val="28"/>
        </w:rPr>
        <w:t>єдиного</w:t>
      </w:r>
      <w:proofErr w:type="spellEnd"/>
      <w:r w:rsidR="00EC45D4">
        <w:rPr>
          <w:sz w:val="28"/>
          <w:szCs w:val="28"/>
        </w:rPr>
        <w:t xml:space="preserve"> </w:t>
      </w:r>
      <w:proofErr w:type="spellStart"/>
      <w:r w:rsidR="00EC45D4">
        <w:rPr>
          <w:sz w:val="28"/>
          <w:szCs w:val="28"/>
        </w:rPr>
        <w:t>організаційно-економічного</w:t>
      </w:r>
      <w:proofErr w:type="spellEnd"/>
      <w:r w:rsidR="00EC45D4">
        <w:rPr>
          <w:sz w:val="28"/>
          <w:szCs w:val="28"/>
        </w:rPr>
        <w:t xml:space="preserve"> </w:t>
      </w:r>
      <w:proofErr w:type="spellStart"/>
      <w:r w:rsidR="00EC45D4">
        <w:rPr>
          <w:sz w:val="28"/>
          <w:szCs w:val="28"/>
        </w:rPr>
        <w:t>механізму</w:t>
      </w:r>
      <w:proofErr w:type="spellEnd"/>
      <w:r w:rsidR="00EC45D4">
        <w:rPr>
          <w:sz w:val="28"/>
          <w:szCs w:val="28"/>
        </w:rPr>
        <w:t xml:space="preserve"> </w:t>
      </w:r>
      <w:proofErr w:type="spellStart"/>
      <w:r w:rsidR="00EC45D4">
        <w:rPr>
          <w:sz w:val="28"/>
          <w:szCs w:val="28"/>
        </w:rPr>
        <w:t>справляння</w:t>
      </w:r>
      <w:proofErr w:type="spellEnd"/>
      <w:r w:rsidR="00EC45D4">
        <w:rPr>
          <w:sz w:val="28"/>
          <w:szCs w:val="28"/>
        </w:rPr>
        <w:t xml:space="preserve"> та </w:t>
      </w:r>
      <w:proofErr w:type="spellStart"/>
      <w:r w:rsidR="00EC45D4">
        <w:rPr>
          <w:sz w:val="28"/>
          <w:szCs w:val="28"/>
        </w:rPr>
        <w:t>використання</w:t>
      </w:r>
      <w:proofErr w:type="spellEnd"/>
      <w:r w:rsidR="00EC45D4">
        <w:rPr>
          <w:sz w:val="28"/>
          <w:szCs w:val="28"/>
        </w:rPr>
        <w:t xml:space="preserve"> плати за </w:t>
      </w:r>
      <w:proofErr w:type="spellStart"/>
      <w:r w:rsidR="00EC45D4">
        <w:rPr>
          <w:sz w:val="28"/>
          <w:szCs w:val="28"/>
        </w:rPr>
        <w:t>оренду</w:t>
      </w:r>
      <w:proofErr w:type="spellEnd"/>
      <w:r w:rsidR="00EC45D4">
        <w:rPr>
          <w:sz w:val="28"/>
          <w:szCs w:val="28"/>
        </w:rPr>
        <w:t xml:space="preserve"> </w:t>
      </w:r>
      <w:proofErr w:type="spellStart"/>
      <w:r w:rsidR="00EC45D4">
        <w:rPr>
          <w:sz w:val="28"/>
          <w:szCs w:val="28"/>
        </w:rPr>
        <w:t>комунального</w:t>
      </w:r>
      <w:proofErr w:type="spellEnd"/>
      <w:r w:rsidR="00EC45D4">
        <w:rPr>
          <w:sz w:val="28"/>
          <w:szCs w:val="28"/>
        </w:rPr>
        <w:t xml:space="preserve"> майна, </w:t>
      </w:r>
      <w:proofErr w:type="spellStart"/>
      <w:r w:rsidR="00EC45D4">
        <w:rPr>
          <w:sz w:val="28"/>
          <w:szCs w:val="28"/>
        </w:rPr>
        <w:t>окремого</w:t>
      </w:r>
      <w:proofErr w:type="spellEnd"/>
      <w:r w:rsidR="00EC45D4">
        <w:rPr>
          <w:sz w:val="28"/>
          <w:szCs w:val="28"/>
        </w:rPr>
        <w:t xml:space="preserve"> </w:t>
      </w:r>
      <w:proofErr w:type="spellStart"/>
      <w:r w:rsidR="00EC45D4">
        <w:rPr>
          <w:sz w:val="28"/>
          <w:szCs w:val="28"/>
        </w:rPr>
        <w:t>індивідуально</w:t>
      </w:r>
      <w:proofErr w:type="spellEnd"/>
      <w:r w:rsidR="00EC45D4">
        <w:rPr>
          <w:sz w:val="28"/>
          <w:szCs w:val="28"/>
        </w:rPr>
        <w:t xml:space="preserve"> </w:t>
      </w:r>
      <w:proofErr w:type="spellStart"/>
      <w:r w:rsidR="00EC45D4">
        <w:rPr>
          <w:sz w:val="28"/>
          <w:szCs w:val="28"/>
        </w:rPr>
        <w:t>визначеного</w:t>
      </w:r>
      <w:proofErr w:type="spellEnd"/>
      <w:r w:rsidR="00EC45D4">
        <w:rPr>
          <w:sz w:val="28"/>
          <w:szCs w:val="28"/>
        </w:rPr>
        <w:t xml:space="preserve"> майна </w:t>
      </w:r>
      <w:proofErr w:type="spellStart"/>
      <w:r w:rsidR="00EC45D4">
        <w:rPr>
          <w:sz w:val="28"/>
          <w:szCs w:val="28"/>
        </w:rPr>
        <w:t>комунальних</w:t>
      </w:r>
      <w:proofErr w:type="spellEnd"/>
      <w:r w:rsidR="00EC45D4">
        <w:rPr>
          <w:sz w:val="28"/>
          <w:szCs w:val="28"/>
        </w:rPr>
        <w:t xml:space="preserve"> </w:t>
      </w:r>
      <w:proofErr w:type="spellStart"/>
      <w:r w:rsidR="00EC45D4">
        <w:rPr>
          <w:sz w:val="28"/>
          <w:szCs w:val="28"/>
        </w:rPr>
        <w:t>підприємств</w:t>
      </w:r>
      <w:proofErr w:type="spellEnd"/>
      <w:r w:rsidR="00EC45D4">
        <w:rPr>
          <w:sz w:val="28"/>
          <w:szCs w:val="28"/>
        </w:rPr>
        <w:t xml:space="preserve">, </w:t>
      </w:r>
      <w:proofErr w:type="spellStart"/>
      <w:r w:rsidR="00EC45D4">
        <w:rPr>
          <w:sz w:val="28"/>
          <w:szCs w:val="28"/>
        </w:rPr>
        <w:lastRenderedPageBreak/>
        <w:t>організацій</w:t>
      </w:r>
      <w:proofErr w:type="spellEnd"/>
      <w:r w:rsidR="00EC45D4">
        <w:rPr>
          <w:sz w:val="28"/>
          <w:szCs w:val="28"/>
        </w:rPr>
        <w:t xml:space="preserve">, </w:t>
      </w:r>
      <w:proofErr w:type="spellStart"/>
      <w:r w:rsidR="00EC45D4">
        <w:rPr>
          <w:sz w:val="28"/>
          <w:szCs w:val="28"/>
        </w:rPr>
        <w:t>установ</w:t>
      </w:r>
      <w:proofErr w:type="spellEnd"/>
      <w:r w:rsidR="00EC45D4">
        <w:rPr>
          <w:sz w:val="28"/>
          <w:szCs w:val="28"/>
        </w:rPr>
        <w:t xml:space="preserve"> </w:t>
      </w:r>
      <w:proofErr w:type="spellStart"/>
      <w:r w:rsidR="00EC45D4">
        <w:rPr>
          <w:sz w:val="28"/>
          <w:szCs w:val="28"/>
        </w:rPr>
        <w:t>розроблено</w:t>
      </w:r>
      <w:proofErr w:type="spellEnd"/>
      <w:r w:rsidR="00EC45D4">
        <w:rPr>
          <w:sz w:val="28"/>
          <w:szCs w:val="28"/>
        </w:rPr>
        <w:t xml:space="preserve"> </w:t>
      </w:r>
      <w:proofErr w:type="spellStart"/>
      <w:r w:rsidR="00EC45D4">
        <w:rPr>
          <w:sz w:val="28"/>
          <w:szCs w:val="28"/>
        </w:rPr>
        <w:t>проєкт</w:t>
      </w:r>
      <w:proofErr w:type="spellEnd"/>
      <w:r w:rsidR="00EC45D4">
        <w:rPr>
          <w:sz w:val="28"/>
          <w:szCs w:val="28"/>
        </w:rPr>
        <w:t xml:space="preserve"> </w:t>
      </w:r>
      <w:proofErr w:type="spellStart"/>
      <w:r w:rsidR="00EC45D4">
        <w:rPr>
          <w:sz w:val="28"/>
          <w:szCs w:val="28"/>
        </w:rPr>
        <w:t>рішення</w:t>
      </w:r>
      <w:proofErr w:type="spellEnd"/>
      <w:r w:rsidR="00EC45D4">
        <w:rPr>
          <w:sz w:val="28"/>
          <w:szCs w:val="28"/>
        </w:rPr>
        <w:t xml:space="preserve"> Люблинецької </w:t>
      </w:r>
      <w:proofErr w:type="spellStart"/>
      <w:r w:rsidR="00EC45D4">
        <w:rPr>
          <w:sz w:val="28"/>
          <w:szCs w:val="28"/>
        </w:rPr>
        <w:t>селищної</w:t>
      </w:r>
      <w:proofErr w:type="spellEnd"/>
      <w:r w:rsidR="00EC45D4">
        <w:rPr>
          <w:sz w:val="28"/>
          <w:szCs w:val="28"/>
        </w:rPr>
        <w:t xml:space="preserve"> ради </w:t>
      </w:r>
      <w:r w:rsidR="00EC45D4" w:rsidRPr="00EC45D4">
        <w:rPr>
          <w:sz w:val="28"/>
          <w:szCs w:val="28"/>
        </w:rPr>
        <w:t xml:space="preserve">“Про </w:t>
      </w:r>
      <w:proofErr w:type="spellStart"/>
      <w:proofErr w:type="gramStart"/>
      <w:r w:rsidR="00EC45D4" w:rsidRPr="00EC45D4">
        <w:rPr>
          <w:sz w:val="28"/>
          <w:szCs w:val="28"/>
        </w:rPr>
        <w:t>затвердження</w:t>
      </w:r>
      <w:proofErr w:type="spellEnd"/>
      <w:r w:rsidR="00EC45D4" w:rsidRPr="00EC45D4">
        <w:rPr>
          <w:sz w:val="28"/>
          <w:szCs w:val="28"/>
        </w:rPr>
        <w:t xml:space="preserve">  Методики</w:t>
      </w:r>
      <w:proofErr w:type="gramEnd"/>
      <w:r w:rsidR="00EC45D4" w:rsidRPr="00EC45D4">
        <w:rPr>
          <w:sz w:val="28"/>
          <w:szCs w:val="28"/>
        </w:rPr>
        <w:t xml:space="preserve"> </w:t>
      </w:r>
      <w:proofErr w:type="spellStart"/>
      <w:r w:rsidR="00EC45D4" w:rsidRPr="00EC45D4">
        <w:rPr>
          <w:sz w:val="28"/>
          <w:szCs w:val="28"/>
        </w:rPr>
        <w:t>розрахунку</w:t>
      </w:r>
      <w:proofErr w:type="spellEnd"/>
      <w:r w:rsidR="00EC45D4" w:rsidRPr="00EC45D4">
        <w:rPr>
          <w:sz w:val="28"/>
          <w:szCs w:val="28"/>
        </w:rPr>
        <w:t xml:space="preserve"> </w:t>
      </w:r>
      <w:proofErr w:type="spellStart"/>
      <w:r w:rsidR="00EC45D4" w:rsidRPr="00EC45D4">
        <w:rPr>
          <w:sz w:val="28"/>
          <w:szCs w:val="28"/>
        </w:rPr>
        <w:t>орендної</w:t>
      </w:r>
      <w:proofErr w:type="spellEnd"/>
      <w:r w:rsidR="00EC45D4" w:rsidRPr="00EC45D4">
        <w:rPr>
          <w:sz w:val="28"/>
          <w:szCs w:val="28"/>
        </w:rPr>
        <w:t xml:space="preserve"> плати за </w:t>
      </w:r>
      <w:proofErr w:type="spellStart"/>
      <w:r w:rsidR="00EC45D4" w:rsidRPr="00EC45D4">
        <w:rPr>
          <w:sz w:val="28"/>
          <w:szCs w:val="28"/>
        </w:rPr>
        <w:t>майно</w:t>
      </w:r>
      <w:proofErr w:type="spellEnd"/>
      <w:r w:rsidR="00EC45D4" w:rsidRPr="00EC45D4">
        <w:rPr>
          <w:sz w:val="28"/>
          <w:szCs w:val="28"/>
        </w:rPr>
        <w:t> </w:t>
      </w:r>
      <w:proofErr w:type="spellStart"/>
      <w:r w:rsidR="00EC45D4" w:rsidRPr="00EC45D4">
        <w:rPr>
          <w:sz w:val="28"/>
          <w:szCs w:val="28"/>
        </w:rPr>
        <w:t>комунальної</w:t>
      </w:r>
      <w:proofErr w:type="spellEnd"/>
      <w:r w:rsidR="00EC45D4" w:rsidRPr="00EC45D4">
        <w:rPr>
          <w:sz w:val="28"/>
          <w:szCs w:val="28"/>
        </w:rPr>
        <w:t xml:space="preserve"> </w:t>
      </w:r>
      <w:proofErr w:type="spellStart"/>
      <w:r w:rsidR="00EC45D4" w:rsidRPr="00EC45D4">
        <w:rPr>
          <w:sz w:val="28"/>
          <w:szCs w:val="28"/>
        </w:rPr>
        <w:t>власності</w:t>
      </w:r>
      <w:proofErr w:type="spellEnd"/>
      <w:r w:rsidR="00EC45D4" w:rsidRPr="00EC45D4">
        <w:rPr>
          <w:sz w:val="28"/>
          <w:szCs w:val="28"/>
        </w:rPr>
        <w:t xml:space="preserve"> Люблинецької </w:t>
      </w:r>
      <w:proofErr w:type="spellStart"/>
      <w:proofErr w:type="gramStart"/>
      <w:r w:rsidR="00EC45D4" w:rsidRPr="00EC45D4">
        <w:rPr>
          <w:sz w:val="28"/>
          <w:szCs w:val="28"/>
        </w:rPr>
        <w:t>селищної</w:t>
      </w:r>
      <w:proofErr w:type="spellEnd"/>
      <w:r w:rsidR="00EC45D4" w:rsidRPr="00EC45D4">
        <w:rPr>
          <w:sz w:val="28"/>
          <w:szCs w:val="28"/>
        </w:rPr>
        <w:t>  </w:t>
      </w:r>
      <w:proofErr w:type="spellStart"/>
      <w:r w:rsidR="00EC45D4" w:rsidRPr="00EC45D4">
        <w:rPr>
          <w:sz w:val="28"/>
          <w:szCs w:val="28"/>
        </w:rPr>
        <w:t>територіальної</w:t>
      </w:r>
      <w:proofErr w:type="spellEnd"/>
      <w:proofErr w:type="gramEnd"/>
      <w:r w:rsidR="00EC45D4" w:rsidRPr="00EC45D4">
        <w:rPr>
          <w:sz w:val="28"/>
          <w:szCs w:val="28"/>
        </w:rPr>
        <w:t xml:space="preserve"> </w:t>
      </w:r>
      <w:proofErr w:type="spellStart"/>
      <w:r w:rsidR="00EC45D4" w:rsidRPr="00EC45D4">
        <w:rPr>
          <w:sz w:val="28"/>
          <w:szCs w:val="28"/>
        </w:rPr>
        <w:t>громади</w:t>
      </w:r>
      <w:proofErr w:type="spellEnd"/>
      <w:r w:rsidR="00EC45D4" w:rsidRPr="00EC45D4">
        <w:rPr>
          <w:sz w:val="28"/>
          <w:szCs w:val="28"/>
        </w:rPr>
        <w:t>»”.</w:t>
      </w:r>
    </w:p>
    <w:p w14:paraId="13BD84E8" w14:textId="79023391" w:rsidR="00EC45D4" w:rsidRPr="003C31B5" w:rsidRDefault="00EC45D4" w:rsidP="00216BDD">
      <w:pPr>
        <w:pStyle w:val="ae"/>
        <w:spacing w:before="10" w:after="10"/>
        <w:ind w:left="284" w:right="284" w:firstLine="720"/>
        <w:jc w:val="both"/>
        <w:rPr>
          <w:sz w:val="28"/>
          <w:szCs w:val="28"/>
          <w:lang w:val="uk-UA"/>
        </w:rPr>
      </w:pPr>
      <w:r w:rsidRPr="003C31B5">
        <w:rPr>
          <w:sz w:val="28"/>
          <w:szCs w:val="28"/>
          <w:lang w:val="uk-UA"/>
        </w:rPr>
        <w:t xml:space="preserve">Передача в оренду комунального майна є ефективним і перспективним управлінським рішенням, що дає змогу зберегти майно територіальної громади, а також сприяє розвитку підприємництва та є джерелом наповнення місцевого бюджету. Станом на 01.10.2025 року: на обліку знаходиться 6 договорів оренди об’єктів нерухомості комунальної власності Люблинецької селищної територіальної громади, з них: 1 – банківських установа, 1– комунальне некомерційне підприємство, 4 -  фізичні особи-підприємці, </w:t>
      </w:r>
      <w:r w:rsidRPr="002E535F">
        <w:rPr>
          <w:sz w:val="28"/>
          <w:szCs w:val="28"/>
          <w:lang w:val="uk-UA"/>
        </w:rPr>
        <w:t>які мають виконати вимоги регулювання, тобто мають право на продовження договорів оренди відповідно до Закону на тих же умовах, у разі, якщо цей договір продовжується вперше.</w:t>
      </w:r>
    </w:p>
    <w:p w14:paraId="06ED2877" w14:textId="77777777" w:rsidR="00FB1F9F" w:rsidRDefault="00EC45D4" w:rsidP="00216BDD">
      <w:pPr>
        <w:spacing w:before="10" w:after="10"/>
        <w:ind w:left="284" w:right="284" w:firstLine="567"/>
        <w:jc w:val="both"/>
        <w:rPr>
          <w:rFonts w:ascii="Times New Roman" w:hAnsi="Times New Roman" w:cs="Times New Roman"/>
          <w:sz w:val="28"/>
          <w:szCs w:val="28"/>
        </w:rPr>
      </w:pPr>
      <w:r>
        <w:rPr>
          <w:rFonts w:ascii="Times New Roman" w:hAnsi="Times New Roman" w:cs="Times New Roman"/>
          <w:sz w:val="28"/>
          <w:szCs w:val="28"/>
        </w:rPr>
        <w:t xml:space="preserve">За </w:t>
      </w:r>
      <w:r w:rsidRPr="00CB53EA">
        <w:rPr>
          <w:rFonts w:ascii="Times New Roman" w:hAnsi="Times New Roman" w:cs="Times New Roman"/>
          <w:sz w:val="28"/>
          <w:szCs w:val="28"/>
        </w:rPr>
        <w:t xml:space="preserve">2024 році середньомісячні нарахування орендної плати орендарям становлять майже </w:t>
      </w:r>
      <w:r>
        <w:rPr>
          <w:rFonts w:ascii="Times New Roman" w:hAnsi="Times New Roman" w:cs="Times New Roman"/>
          <w:sz w:val="28"/>
          <w:szCs w:val="28"/>
        </w:rPr>
        <w:t xml:space="preserve">1767,85 </w:t>
      </w:r>
      <w:r w:rsidRPr="00CB53EA">
        <w:rPr>
          <w:rFonts w:ascii="Times New Roman" w:hAnsi="Times New Roman" w:cs="Times New Roman"/>
          <w:sz w:val="28"/>
          <w:szCs w:val="28"/>
        </w:rPr>
        <w:t xml:space="preserve">грн. За 2024 рік надходження до місцевого бюджету від оренди </w:t>
      </w:r>
      <w:r>
        <w:rPr>
          <w:rFonts w:ascii="Times New Roman" w:hAnsi="Times New Roman" w:cs="Times New Roman"/>
          <w:sz w:val="28"/>
          <w:szCs w:val="28"/>
        </w:rPr>
        <w:t xml:space="preserve">нерухомого </w:t>
      </w:r>
      <w:r w:rsidRPr="00CB53EA">
        <w:rPr>
          <w:rFonts w:ascii="Times New Roman" w:hAnsi="Times New Roman" w:cs="Times New Roman"/>
          <w:sz w:val="28"/>
          <w:szCs w:val="28"/>
        </w:rPr>
        <w:t xml:space="preserve">комунального майна склали – </w:t>
      </w:r>
      <w:r>
        <w:rPr>
          <w:rFonts w:ascii="Times New Roman" w:hAnsi="Times New Roman" w:cs="Times New Roman"/>
          <w:spacing w:val="-8"/>
          <w:sz w:val="28"/>
          <w:szCs w:val="28"/>
        </w:rPr>
        <w:t xml:space="preserve">21214,19 </w:t>
      </w:r>
      <w:r w:rsidRPr="00CB53EA">
        <w:rPr>
          <w:rFonts w:ascii="Times New Roman" w:hAnsi="Times New Roman" w:cs="Times New Roman"/>
          <w:sz w:val="28"/>
          <w:szCs w:val="28"/>
        </w:rPr>
        <w:t xml:space="preserve"> грн.</w:t>
      </w:r>
    </w:p>
    <w:p w14:paraId="55813F69" w14:textId="7E29068C" w:rsidR="00EC45D4" w:rsidRPr="00FB1F9F" w:rsidRDefault="00EC45D4" w:rsidP="00216BDD">
      <w:pPr>
        <w:spacing w:before="10" w:after="10"/>
        <w:ind w:left="284" w:right="284" w:firstLine="567"/>
        <w:jc w:val="both"/>
        <w:rPr>
          <w:rFonts w:ascii="Times New Roman" w:hAnsi="Times New Roman" w:cs="Times New Roman"/>
          <w:sz w:val="28"/>
          <w:szCs w:val="28"/>
        </w:rPr>
      </w:pPr>
      <w:proofErr w:type="spellStart"/>
      <w:r w:rsidRPr="00FB1F9F">
        <w:rPr>
          <w:rFonts w:ascii="Times New Roman" w:hAnsi="Times New Roman" w:cs="Times New Roman"/>
          <w:sz w:val="28"/>
          <w:szCs w:val="28"/>
        </w:rPr>
        <w:t>Проєктом</w:t>
      </w:r>
      <w:proofErr w:type="spellEnd"/>
      <w:r w:rsidRPr="00FB1F9F">
        <w:rPr>
          <w:rFonts w:ascii="Times New Roman" w:hAnsi="Times New Roman" w:cs="Times New Roman"/>
          <w:sz w:val="28"/>
          <w:szCs w:val="28"/>
        </w:rPr>
        <w:t xml:space="preserve"> Методики пропонуються річні орендні ставки для орендарів, визначених ст. 15 Закону України “Про оренду державного та комунального майна”, в тому числі для органів місцевого самоврядування, бюджетних установ, що фінансуються з місцевого бюджету, а також запропоновано пільгову оренду як фіксована орендна плата 1 грн на рік, що пропонується для орендарів, які фінансуються з державного бюджету та місцевого бюджету, зокрема </w:t>
      </w:r>
      <w:bookmarkStart w:id="2" w:name="_Hlk210295859"/>
      <w:r w:rsidR="003A5956" w:rsidRPr="00FB1F9F">
        <w:rPr>
          <w:rFonts w:ascii="Times New Roman" w:hAnsi="Times New Roman" w:cs="Times New Roman"/>
          <w:sz w:val="28"/>
          <w:szCs w:val="28"/>
        </w:rPr>
        <w:t>закладам охорони здоров’я державної та комунальної форми власності, в тому числі ті, які діють у формі  казенних та комунальних некомерційних підприємств</w:t>
      </w:r>
      <w:bookmarkEnd w:id="2"/>
      <w:r w:rsidR="003A5956" w:rsidRPr="00FB1F9F">
        <w:rPr>
          <w:rFonts w:ascii="Times New Roman" w:hAnsi="Times New Roman" w:cs="Times New Roman"/>
          <w:sz w:val="28"/>
          <w:szCs w:val="28"/>
        </w:rPr>
        <w:t xml:space="preserve"> </w:t>
      </w:r>
      <w:r w:rsidRPr="00FB1F9F">
        <w:rPr>
          <w:rFonts w:ascii="Times New Roman" w:hAnsi="Times New Roman" w:cs="Times New Roman"/>
          <w:sz w:val="28"/>
          <w:szCs w:val="28"/>
        </w:rPr>
        <w:t xml:space="preserve">(для яких державною методикою встановлюється річна оренда ставка 3%), Товариству Червоного Хреста України та його місцевих організацій (для яких державною методикою встановлюється річна оренда ставка 0,01%), </w:t>
      </w:r>
      <w:bookmarkStart w:id="3" w:name="_Hlk210289128"/>
      <w:r w:rsidRPr="00FB1F9F">
        <w:rPr>
          <w:rFonts w:ascii="Times New Roman" w:hAnsi="Times New Roman" w:cs="Times New Roman"/>
          <w:sz w:val="28"/>
          <w:szCs w:val="28"/>
        </w:rPr>
        <w:t>громадським організаціям ветеранів для розміщення реабілітаційних установ для ветеранів (для яких державною методикою встановлюється річна оренда ставка залежно від площі 4% та 7%)</w:t>
      </w:r>
      <w:bookmarkEnd w:id="3"/>
      <w:r w:rsidRPr="00FB1F9F">
        <w:rPr>
          <w:rFonts w:ascii="Times New Roman" w:hAnsi="Times New Roman" w:cs="Times New Roman"/>
          <w:sz w:val="28"/>
          <w:szCs w:val="28"/>
        </w:rPr>
        <w:t>, а також іншим закладам, установ, організацій, що фінансуються з місцевого бюджету.</w:t>
      </w:r>
    </w:p>
    <w:p w14:paraId="5A6A9501" w14:textId="77777777" w:rsidR="00EC45D4" w:rsidRDefault="00EC45D4" w:rsidP="00216BDD">
      <w:pPr>
        <w:spacing w:before="10" w:after="10"/>
        <w:ind w:left="284" w:right="284" w:firstLine="567"/>
        <w:jc w:val="both"/>
        <w:rPr>
          <w:i/>
          <w:color w:val="FF0000"/>
        </w:rPr>
      </w:pPr>
      <w:r w:rsidRPr="002E535F">
        <w:rPr>
          <w:rFonts w:ascii="Times New Roman" w:hAnsi="Times New Roman" w:cs="Times New Roman"/>
          <w:sz w:val="28"/>
          <w:szCs w:val="28"/>
        </w:rPr>
        <w:t>Для суб’єктів підприємницької діяльності, які мають право на продовження договорів оренди на тих же умовах, залишені орендні ставки, що діяли на момент укладання договорів оренди.</w:t>
      </w:r>
      <w:r>
        <w:rPr>
          <w:i/>
          <w:color w:val="FF0000"/>
        </w:rPr>
        <w:t xml:space="preserve"> </w:t>
      </w:r>
    </w:p>
    <w:p w14:paraId="38F8FDB3" w14:textId="504D8EED" w:rsidR="00E87FD2" w:rsidRDefault="00E87FD2" w:rsidP="00216BDD">
      <w:pPr>
        <w:spacing w:before="10" w:after="10"/>
        <w:ind w:left="284" w:right="284" w:firstLine="709"/>
        <w:jc w:val="both"/>
        <w:rPr>
          <w:rFonts w:ascii="Times New Roman" w:hAnsi="Times New Roman" w:cs="Times New Roman"/>
          <w:sz w:val="28"/>
          <w:szCs w:val="28"/>
        </w:rPr>
      </w:pPr>
      <w:r>
        <w:rPr>
          <w:rFonts w:ascii="Times New Roman" w:hAnsi="Times New Roman" w:cs="Times New Roman"/>
          <w:sz w:val="28"/>
          <w:szCs w:val="28"/>
        </w:rPr>
        <w:t xml:space="preserve">Враховуючи викладене, виникла необхідність затвердження відповідного регуляторного акту, який би дозволив передавати в оренду об’єкти нерухомого майна, </w:t>
      </w:r>
      <w:r w:rsidRPr="000E4990">
        <w:rPr>
          <w:rFonts w:ascii="Times New Roman" w:hAnsi="Times New Roman" w:cs="Times New Roman"/>
          <w:sz w:val="28"/>
          <w:szCs w:val="28"/>
        </w:rPr>
        <w:t xml:space="preserve">окремо індивідуально визначеного майна, а </w:t>
      </w:r>
      <w:r w:rsidRPr="000E4990">
        <w:rPr>
          <w:rFonts w:ascii="Times New Roman" w:hAnsi="Times New Roman" w:cs="Times New Roman"/>
          <w:sz w:val="28"/>
          <w:szCs w:val="28"/>
        </w:rPr>
        <w:lastRenderedPageBreak/>
        <w:t>також транспортн</w:t>
      </w:r>
      <w:r>
        <w:rPr>
          <w:rFonts w:ascii="Times New Roman" w:hAnsi="Times New Roman" w:cs="Times New Roman"/>
          <w:sz w:val="28"/>
          <w:szCs w:val="28"/>
        </w:rPr>
        <w:t>і</w:t>
      </w:r>
      <w:r w:rsidRPr="000E4990">
        <w:rPr>
          <w:rFonts w:ascii="Times New Roman" w:hAnsi="Times New Roman" w:cs="Times New Roman"/>
          <w:sz w:val="28"/>
          <w:szCs w:val="28"/>
        </w:rPr>
        <w:t xml:space="preserve"> засоб</w:t>
      </w:r>
      <w:r>
        <w:rPr>
          <w:rFonts w:ascii="Times New Roman" w:hAnsi="Times New Roman" w:cs="Times New Roman"/>
          <w:sz w:val="28"/>
          <w:szCs w:val="28"/>
        </w:rPr>
        <w:t xml:space="preserve">и, що перебувають у комунальній власності, визначеним орендарям за 1 грн. в рік та іншим орендарям, застосовуючи визначені ставки для розрахунку орендної плати. В результаті розробки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w:t>
      </w:r>
      <w:r w:rsidRPr="00CB53EA">
        <w:rPr>
          <w:rFonts w:ascii="Times New Roman" w:hAnsi="Times New Roman" w:cs="Times New Roman"/>
          <w:sz w:val="28"/>
          <w:szCs w:val="28"/>
        </w:rPr>
        <w:t xml:space="preserve">Люблинецької селищної </w:t>
      </w:r>
      <w:r w:rsidRPr="00750A31">
        <w:rPr>
          <w:rFonts w:ascii="Times New Roman" w:hAnsi="Times New Roman" w:cs="Times New Roman"/>
          <w:sz w:val="28"/>
          <w:szCs w:val="28"/>
        </w:rPr>
        <w:t>ради “Про затвердження  Методики розрахунку орендної плати за майно комунальної власності Люблинецької селищної  територіальної громади”</w:t>
      </w:r>
      <w:r>
        <w:rPr>
          <w:rFonts w:ascii="Times New Roman" w:hAnsi="Times New Roman" w:cs="Times New Roman"/>
          <w:sz w:val="28"/>
          <w:szCs w:val="28"/>
        </w:rPr>
        <w:t xml:space="preserve"> процедура передачі в оренду майна комунальної власності буде приведена у відповідність до вимог чинного законодавства. А також буде врахована як специфіка діяльності комунальних підприємств громади, та і інших підприємств, установ, організацій, які фінансуються з місцевих бюджетів, в тому числі безпосередньо з місцевого бюджету </w:t>
      </w:r>
      <w:r w:rsidRPr="00750A31">
        <w:rPr>
          <w:rFonts w:ascii="Times New Roman" w:hAnsi="Times New Roman" w:cs="Times New Roman"/>
          <w:sz w:val="28"/>
          <w:szCs w:val="28"/>
        </w:rPr>
        <w:t>Люблинецької селищної  </w:t>
      </w:r>
      <w:r>
        <w:rPr>
          <w:rFonts w:ascii="Times New Roman" w:hAnsi="Times New Roman" w:cs="Times New Roman"/>
          <w:sz w:val="28"/>
          <w:szCs w:val="28"/>
        </w:rPr>
        <w:t xml:space="preserve"> ради, а також існуючий попит на об’єкти комунальної власності, на послуги та товари, які надаються суб’єктами підприємницької діяльності.</w:t>
      </w:r>
    </w:p>
    <w:p w14:paraId="39A249D8" w14:textId="77777777" w:rsidR="00EC45D4" w:rsidRDefault="00EC45D4" w:rsidP="00216BDD">
      <w:pPr>
        <w:spacing w:before="10" w:after="10"/>
        <w:ind w:left="284" w:right="284" w:firstLine="708"/>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Основні групи (підгрупи), на які проблема справляє вплив: </w:t>
      </w:r>
    </w:p>
    <w:p w14:paraId="21F7A45C" w14:textId="77777777" w:rsidR="00EC45D4" w:rsidRDefault="00EC45D4" w:rsidP="00216BDD">
      <w:pPr>
        <w:spacing w:before="10" w:after="10"/>
        <w:ind w:left="284" w:right="284" w:firstLine="708"/>
        <w:jc w:val="both"/>
        <w:rPr>
          <w:rFonts w:ascii="Times New Roman" w:hAnsi="Times New Roman" w:cs="Times New Roman"/>
          <w:sz w:val="24"/>
          <w:szCs w:val="24"/>
        </w:rPr>
      </w:pPr>
      <w:r>
        <w:rPr>
          <w:rFonts w:ascii="Times New Roman" w:hAnsi="Times New Roman" w:cs="Times New Roman"/>
          <w:sz w:val="24"/>
          <w:szCs w:val="24"/>
        </w:rPr>
        <w:t xml:space="preserve">Групи (підгрупи)                                             Так/ Ні </w:t>
      </w:r>
    </w:p>
    <w:p w14:paraId="34691C70" w14:textId="77777777" w:rsidR="00EC45D4" w:rsidRDefault="00EC45D4" w:rsidP="00216BDD">
      <w:pPr>
        <w:spacing w:before="10" w:after="10"/>
        <w:ind w:left="284" w:right="284" w:firstLine="708"/>
        <w:jc w:val="both"/>
        <w:rPr>
          <w:rFonts w:ascii="Times New Roman" w:hAnsi="Times New Roman" w:cs="Times New Roman"/>
          <w:sz w:val="24"/>
          <w:szCs w:val="24"/>
        </w:rPr>
      </w:pPr>
      <w:r>
        <w:rPr>
          <w:rFonts w:ascii="Times New Roman" w:hAnsi="Times New Roman" w:cs="Times New Roman"/>
          <w:sz w:val="24"/>
          <w:szCs w:val="24"/>
        </w:rPr>
        <w:t xml:space="preserve">Громадяни                                                              + </w:t>
      </w:r>
    </w:p>
    <w:p w14:paraId="3F74C550" w14:textId="77777777" w:rsidR="00EC45D4" w:rsidRDefault="00EC45D4" w:rsidP="00216BDD">
      <w:pPr>
        <w:spacing w:before="10" w:after="10"/>
        <w:ind w:left="284" w:right="284" w:firstLine="708"/>
        <w:jc w:val="both"/>
        <w:rPr>
          <w:rFonts w:ascii="Times New Roman" w:hAnsi="Times New Roman" w:cs="Times New Roman"/>
          <w:sz w:val="24"/>
          <w:szCs w:val="24"/>
        </w:rPr>
      </w:pPr>
      <w:r>
        <w:rPr>
          <w:rFonts w:ascii="Times New Roman" w:hAnsi="Times New Roman" w:cs="Times New Roman"/>
          <w:sz w:val="24"/>
          <w:szCs w:val="24"/>
        </w:rPr>
        <w:t>Органи місцевого самоврядування                      +</w:t>
      </w:r>
    </w:p>
    <w:p w14:paraId="7DC2529E" w14:textId="77777777" w:rsidR="00EC45D4" w:rsidRDefault="00EC45D4" w:rsidP="00216BDD">
      <w:pPr>
        <w:spacing w:before="10" w:after="10"/>
        <w:ind w:left="284" w:right="284" w:firstLine="708"/>
        <w:jc w:val="both"/>
        <w:rPr>
          <w:rFonts w:ascii="Times New Roman" w:hAnsi="Times New Roman" w:cs="Times New Roman"/>
          <w:sz w:val="24"/>
          <w:szCs w:val="24"/>
        </w:rPr>
      </w:pPr>
      <w:r>
        <w:rPr>
          <w:rFonts w:ascii="Times New Roman" w:hAnsi="Times New Roman" w:cs="Times New Roman"/>
          <w:sz w:val="24"/>
          <w:szCs w:val="24"/>
        </w:rPr>
        <w:t>Суб’єкти господарювання, у тому числі</w:t>
      </w:r>
    </w:p>
    <w:p w14:paraId="422922B4" w14:textId="54F976DD" w:rsidR="00D37C4D" w:rsidRPr="006179D2" w:rsidRDefault="00EC45D4" w:rsidP="00216BDD">
      <w:pPr>
        <w:spacing w:before="10" w:after="10"/>
        <w:ind w:left="284" w:right="284" w:firstLine="708"/>
        <w:jc w:val="both"/>
        <w:rPr>
          <w:rFonts w:ascii="Times New Roman" w:hAnsi="Times New Roman" w:cs="Times New Roman"/>
          <w:sz w:val="24"/>
          <w:szCs w:val="24"/>
        </w:rPr>
      </w:pPr>
      <w:r>
        <w:rPr>
          <w:rFonts w:ascii="Times New Roman" w:hAnsi="Times New Roman" w:cs="Times New Roman"/>
          <w:sz w:val="24"/>
          <w:szCs w:val="24"/>
        </w:rPr>
        <w:t xml:space="preserve"> суб’єкти малого підприємництва                        + </w:t>
      </w:r>
    </w:p>
    <w:p w14:paraId="3F2518ED" w14:textId="77777777" w:rsidR="00D37C4D" w:rsidRPr="00FB1F9F" w:rsidRDefault="00D37C4D" w:rsidP="00216BDD">
      <w:pPr>
        <w:spacing w:before="10" w:after="10"/>
        <w:ind w:left="284" w:right="284" w:firstLine="567"/>
        <w:jc w:val="both"/>
        <w:rPr>
          <w:rFonts w:ascii="Times New Roman" w:hAnsi="Times New Roman" w:cs="Times New Roman"/>
          <w:b/>
          <w:sz w:val="28"/>
          <w:szCs w:val="28"/>
        </w:rPr>
      </w:pPr>
      <w:r w:rsidRPr="00FB1F9F">
        <w:rPr>
          <w:rFonts w:ascii="Times New Roman" w:hAnsi="Times New Roman" w:cs="Times New Roman"/>
          <w:b/>
          <w:sz w:val="28"/>
          <w:szCs w:val="28"/>
        </w:rPr>
        <w:t>ІІ. Цілі регулювання</w:t>
      </w:r>
    </w:p>
    <w:p w14:paraId="0D3A0528" w14:textId="6E18EF93" w:rsidR="00D37C4D" w:rsidRPr="00FB1F9F" w:rsidRDefault="00D37C4D" w:rsidP="00216BDD">
      <w:pPr>
        <w:pStyle w:val="ae"/>
        <w:spacing w:before="10" w:after="10"/>
        <w:ind w:left="284" w:right="284" w:firstLine="567"/>
        <w:jc w:val="both"/>
        <w:rPr>
          <w:rFonts w:eastAsiaTheme="minorHAnsi"/>
          <w:kern w:val="0"/>
          <w:sz w:val="28"/>
          <w:szCs w:val="28"/>
          <w:lang w:val="uk-UA" w:eastAsia="en-US"/>
          <w14:ligatures w14:val="none"/>
        </w:rPr>
      </w:pPr>
      <w:r w:rsidRPr="00FB1F9F">
        <w:rPr>
          <w:rFonts w:eastAsiaTheme="minorHAnsi"/>
          <w:kern w:val="0"/>
          <w:sz w:val="28"/>
          <w:szCs w:val="28"/>
          <w:lang w:val="uk-UA" w:eastAsia="en-US"/>
          <w14:ligatures w14:val="none"/>
        </w:rPr>
        <w:t xml:space="preserve">Метою прийняття </w:t>
      </w:r>
      <w:r w:rsidR="00FA1D60" w:rsidRPr="00FB1F9F">
        <w:rPr>
          <w:rFonts w:eastAsiaTheme="minorHAnsi"/>
          <w:kern w:val="0"/>
          <w:sz w:val="28"/>
          <w:szCs w:val="28"/>
          <w:lang w:val="uk-UA" w:eastAsia="en-US"/>
          <w14:ligatures w14:val="none"/>
        </w:rPr>
        <w:t>рішення Люблинецької селищної ради “ Про затвердження  Методики розрахунку орендної плати за майно комунальної власності Люблинецької селищної  територіальної громади</w:t>
      </w:r>
      <w:r w:rsidRPr="009E54D4">
        <w:rPr>
          <w:rFonts w:eastAsiaTheme="minorHAnsi"/>
          <w:b/>
          <w:bCs/>
          <w:kern w:val="0"/>
          <w:lang w:val="uk-UA" w:eastAsia="en-US"/>
          <w14:ligatures w14:val="none"/>
        </w:rPr>
        <w:t>” є</w:t>
      </w:r>
      <w:r w:rsidRPr="00FB1F9F">
        <w:rPr>
          <w:rFonts w:eastAsiaTheme="minorHAnsi"/>
          <w:kern w:val="0"/>
          <w:sz w:val="28"/>
          <w:szCs w:val="28"/>
          <w:lang w:val="uk-UA" w:eastAsia="en-US"/>
          <w14:ligatures w14:val="none"/>
        </w:rPr>
        <w:t xml:space="preserve"> врегулювання питань оренди комунального майна територіальної громади, що дозволить більш ефективно та раціонально використовувати комунальне майно територіальної громади та належно його утримувати.</w:t>
      </w:r>
    </w:p>
    <w:p w14:paraId="05E486D5" w14:textId="77777777" w:rsidR="00D37C4D" w:rsidRPr="00FB1F9F" w:rsidRDefault="00D37C4D" w:rsidP="00216BDD">
      <w:pPr>
        <w:spacing w:before="10" w:after="10"/>
        <w:ind w:left="284" w:right="284" w:firstLine="567"/>
        <w:jc w:val="both"/>
        <w:rPr>
          <w:rFonts w:ascii="Times New Roman" w:hAnsi="Times New Roman" w:cs="Times New Roman"/>
          <w:sz w:val="28"/>
          <w:szCs w:val="28"/>
        </w:rPr>
      </w:pPr>
      <w:r w:rsidRPr="00FB1F9F">
        <w:rPr>
          <w:rFonts w:ascii="Times New Roman" w:hAnsi="Times New Roman" w:cs="Times New Roman"/>
          <w:sz w:val="28"/>
          <w:szCs w:val="28"/>
        </w:rPr>
        <w:t xml:space="preserve">Основними цілями регулювання є: </w:t>
      </w:r>
    </w:p>
    <w:p w14:paraId="2B154ECE" w14:textId="77777777" w:rsidR="00D37C4D" w:rsidRPr="00FB1F9F" w:rsidRDefault="00D37C4D" w:rsidP="00216BDD">
      <w:pPr>
        <w:spacing w:before="10" w:after="10"/>
        <w:ind w:left="284" w:right="284" w:firstLine="567"/>
        <w:jc w:val="both"/>
        <w:rPr>
          <w:rFonts w:ascii="Times New Roman" w:hAnsi="Times New Roman" w:cs="Times New Roman"/>
          <w:sz w:val="28"/>
          <w:szCs w:val="28"/>
        </w:rPr>
      </w:pPr>
      <w:r w:rsidRPr="00FB1F9F">
        <w:rPr>
          <w:rFonts w:ascii="Times New Roman" w:hAnsi="Times New Roman" w:cs="Times New Roman"/>
          <w:sz w:val="28"/>
          <w:szCs w:val="28"/>
        </w:rPr>
        <w:t xml:space="preserve">- створення єдиних правил для учасників орендних відносин (орендаря, орендодавця, балансоутримувача) та чітких механізмів розрахунку орендної плати (річної/місячної, добової, погодинної) відповідно до орендних ставок та цільового призначення для орендарів, які мають право на укладання договорів оренди (продовження) без аукціону; </w:t>
      </w:r>
    </w:p>
    <w:p w14:paraId="6B7CFBDE" w14:textId="77777777" w:rsidR="00D37C4D" w:rsidRPr="00FB1F9F" w:rsidRDefault="00D37C4D" w:rsidP="00216BDD">
      <w:pPr>
        <w:spacing w:before="10" w:after="10"/>
        <w:ind w:left="284" w:right="284" w:firstLine="567"/>
        <w:jc w:val="both"/>
        <w:rPr>
          <w:rFonts w:ascii="Times New Roman" w:hAnsi="Times New Roman" w:cs="Times New Roman"/>
          <w:sz w:val="28"/>
          <w:szCs w:val="28"/>
        </w:rPr>
      </w:pPr>
      <w:r w:rsidRPr="00FB1F9F">
        <w:rPr>
          <w:rFonts w:ascii="Times New Roman" w:hAnsi="Times New Roman" w:cs="Times New Roman"/>
          <w:sz w:val="28"/>
          <w:szCs w:val="28"/>
        </w:rPr>
        <w:t xml:space="preserve">- врегулювання правових та економічних відносини між потенційними орендарями та органами місцевого самоврядування; </w:t>
      </w:r>
    </w:p>
    <w:p w14:paraId="34D754FB" w14:textId="7EA87FA4" w:rsidR="00D37C4D" w:rsidRPr="00FB1F9F" w:rsidRDefault="00D37C4D" w:rsidP="00216BDD">
      <w:pPr>
        <w:spacing w:before="10" w:after="10"/>
        <w:ind w:left="284" w:right="284" w:firstLine="567"/>
        <w:jc w:val="both"/>
        <w:rPr>
          <w:rFonts w:ascii="Times New Roman" w:hAnsi="Times New Roman" w:cs="Times New Roman"/>
          <w:sz w:val="28"/>
          <w:szCs w:val="28"/>
        </w:rPr>
      </w:pPr>
      <w:r w:rsidRPr="00FB1F9F">
        <w:rPr>
          <w:rFonts w:ascii="Times New Roman" w:hAnsi="Times New Roman" w:cs="Times New Roman"/>
          <w:sz w:val="28"/>
          <w:szCs w:val="28"/>
        </w:rPr>
        <w:t xml:space="preserve">- приведення у відповідність до вимог чинного законодавства процедури розрахунку орендної плати за оренду майна комунальної власності </w:t>
      </w:r>
      <w:r w:rsidR="007735B2" w:rsidRPr="00FB1F9F">
        <w:rPr>
          <w:rFonts w:ascii="Times New Roman" w:hAnsi="Times New Roman" w:cs="Times New Roman"/>
          <w:sz w:val="28"/>
          <w:szCs w:val="28"/>
        </w:rPr>
        <w:t>Люблинецької селищної</w:t>
      </w:r>
      <w:r w:rsidRPr="00FB1F9F">
        <w:rPr>
          <w:rFonts w:ascii="Times New Roman" w:hAnsi="Times New Roman" w:cs="Times New Roman"/>
          <w:sz w:val="28"/>
          <w:szCs w:val="28"/>
        </w:rPr>
        <w:t xml:space="preserve"> територіальної громади для </w:t>
      </w:r>
      <w:r w:rsidRPr="00FB1F9F">
        <w:rPr>
          <w:rFonts w:ascii="Times New Roman" w:hAnsi="Times New Roman" w:cs="Times New Roman"/>
          <w:sz w:val="28"/>
          <w:szCs w:val="28"/>
        </w:rPr>
        <w:lastRenderedPageBreak/>
        <w:t xml:space="preserve">визначення стартової орендної плати та проведення аукціонів, а також укладання договорів оренди без проведення аукціону; </w:t>
      </w:r>
    </w:p>
    <w:p w14:paraId="43E3F939" w14:textId="77777777" w:rsidR="00D37C4D" w:rsidRPr="00FB1F9F" w:rsidRDefault="00D37C4D" w:rsidP="00216BDD">
      <w:pPr>
        <w:spacing w:before="10" w:after="10"/>
        <w:ind w:left="284" w:right="284" w:firstLine="567"/>
        <w:jc w:val="both"/>
        <w:rPr>
          <w:rFonts w:ascii="Times New Roman" w:hAnsi="Times New Roman" w:cs="Times New Roman"/>
          <w:sz w:val="28"/>
          <w:szCs w:val="28"/>
        </w:rPr>
      </w:pPr>
      <w:r w:rsidRPr="00FB1F9F">
        <w:rPr>
          <w:rFonts w:ascii="Times New Roman" w:hAnsi="Times New Roman" w:cs="Times New Roman"/>
          <w:sz w:val="28"/>
          <w:szCs w:val="28"/>
        </w:rPr>
        <w:t xml:space="preserve">- встановлення доцільних та обґрунтованих орендних ставок із урахуванням місцевих особливостей у сфері оренди комунального майна; </w:t>
      </w:r>
    </w:p>
    <w:p w14:paraId="1BDCE9F5" w14:textId="77777777" w:rsidR="00D37C4D" w:rsidRPr="00FB1F9F" w:rsidRDefault="00D37C4D" w:rsidP="00216BDD">
      <w:pPr>
        <w:spacing w:before="10" w:after="10"/>
        <w:ind w:left="284" w:right="284" w:firstLine="567"/>
        <w:jc w:val="both"/>
        <w:rPr>
          <w:rFonts w:ascii="Times New Roman" w:hAnsi="Times New Roman" w:cs="Times New Roman"/>
          <w:sz w:val="28"/>
          <w:szCs w:val="28"/>
        </w:rPr>
      </w:pPr>
      <w:r w:rsidRPr="00FB1F9F">
        <w:rPr>
          <w:rFonts w:ascii="Times New Roman" w:hAnsi="Times New Roman" w:cs="Times New Roman"/>
          <w:sz w:val="28"/>
          <w:szCs w:val="28"/>
        </w:rPr>
        <w:t xml:space="preserve">- визначення порядку індексації орендної плати; </w:t>
      </w:r>
    </w:p>
    <w:p w14:paraId="05082536" w14:textId="77777777" w:rsidR="00D37C4D" w:rsidRDefault="00D37C4D" w:rsidP="00216BDD">
      <w:pPr>
        <w:spacing w:before="10" w:after="10"/>
        <w:ind w:left="284" w:right="284" w:firstLine="567"/>
        <w:jc w:val="both"/>
        <w:rPr>
          <w:rFonts w:ascii="Times New Roman" w:hAnsi="Times New Roman" w:cs="Times New Roman"/>
          <w:sz w:val="28"/>
          <w:szCs w:val="28"/>
        </w:rPr>
      </w:pPr>
      <w:r w:rsidRPr="00FB1F9F">
        <w:rPr>
          <w:rFonts w:ascii="Times New Roman" w:hAnsi="Times New Roman" w:cs="Times New Roman"/>
          <w:sz w:val="28"/>
          <w:szCs w:val="28"/>
        </w:rPr>
        <w:t>- забезпечення надходження коштів до місцевого бюджету від оренди комунального майна.</w:t>
      </w:r>
    </w:p>
    <w:p w14:paraId="5BF932DA" w14:textId="77777777" w:rsidR="00FA1D60" w:rsidRDefault="00FA1D60" w:rsidP="00216BDD">
      <w:pPr>
        <w:spacing w:before="10" w:after="10"/>
        <w:ind w:left="284" w:right="284" w:firstLine="708"/>
        <w:jc w:val="both"/>
        <w:rPr>
          <w:rFonts w:ascii="Times New Roman" w:hAnsi="Times New Roman" w:cs="Times New Roman"/>
          <w:b/>
          <w:bCs/>
          <w:sz w:val="28"/>
          <w:szCs w:val="28"/>
        </w:rPr>
      </w:pPr>
      <w:r>
        <w:rPr>
          <w:rFonts w:ascii="Times New Roman" w:hAnsi="Times New Roman" w:cs="Times New Roman"/>
          <w:b/>
          <w:bCs/>
          <w:sz w:val="28"/>
          <w:szCs w:val="28"/>
        </w:rPr>
        <w:t>III. Визначення та оцінка альтернативних способів досягнення цілей</w:t>
      </w:r>
    </w:p>
    <w:p w14:paraId="74A43E5C" w14:textId="77777777" w:rsidR="00FA1D60" w:rsidRDefault="00FA1D60" w:rsidP="00216BDD">
      <w:pPr>
        <w:spacing w:before="10" w:after="10"/>
        <w:ind w:left="284" w:right="284" w:firstLine="567"/>
        <w:jc w:val="both"/>
        <w:rPr>
          <w:rFonts w:ascii="Times New Roman" w:hAnsi="Times New Roman" w:cs="Times New Roman"/>
          <w:sz w:val="28"/>
          <w:szCs w:val="28"/>
        </w:rPr>
      </w:pPr>
    </w:p>
    <w:p w14:paraId="2305C45C" w14:textId="77777777" w:rsidR="00FA1D60" w:rsidRDefault="00FA1D60" w:rsidP="00216BDD">
      <w:pPr>
        <w:shd w:val="clear" w:color="auto" w:fill="FFFFFF"/>
        <w:spacing w:before="10" w:after="10" w:line="240" w:lineRule="auto"/>
        <w:ind w:left="284" w:right="28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Визначення альтернативних способів:</w:t>
      </w:r>
    </w:p>
    <w:p w14:paraId="2F4ACF18" w14:textId="77777777" w:rsidR="00FA1D60" w:rsidRDefault="00FA1D60" w:rsidP="00FA1D60">
      <w:pPr>
        <w:shd w:val="clear" w:color="auto" w:fill="FFFFFF"/>
        <w:spacing w:after="0" w:line="240" w:lineRule="auto"/>
        <w:ind w:firstLine="567"/>
        <w:jc w:val="both"/>
        <w:rPr>
          <w:rFonts w:ascii="Times New Roman" w:eastAsia="Times New Roman" w:hAnsi="Times New Roman" w:cs="Times New Roman"/>
          <w:sz w:val="28"/>
          <w:szCs w:val="28"/>
        </w:rPr>
      </w:pPr>
    </w:p>
    <w:tbl>
      <w:tblPr>
        <w:tblW w:w="9177"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49"/>
        <w:gridCol w:w="6028"/>
      </w:tblGrid>
      <w:tr w:rsidR="00FA1D60" w14:paraId="638AA1CE" w14:textId="77777777" w:rsidTr="00D04F71">
        <w:trPr>
          <w:tblCellSpacing w:w="0" w:type="dxa"/>
          <w:jc w:val="center"/>
        </w:trPr>
        <w:tc>
          <w:tcPr>
            <w:tcW w:w="3149" w:type="dxa"/>
            <w:tcBorders>
              <w:top w:val="outset" w:sz="6" w:space="0" w:color="auto"/>
              <w:left w:val="outset" w:sz="6" w:space="0" w:color="auto"/>
              <w:bottom w:val="outset" w:sz="6" w:space="0" w:color="auto"/>
              <w:right w:val="outset" w:sz="6" w:space="0" w:color="auto"/>
            </w:tcBorders>
            <w:shd w:val="clear" w:color="auto" w:fill="FFFFFF"/>
            <w:hideMark/>
          </w:tcPr>
          <w:p w14:paraId="63F7A51B" w14:textId="77777777" w:rsidR="00FA1D60" w:rsidRDefault="00FA1D60" w:rsidP="00D04F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Вид альтернативи</w:t>
            </w:r>
          </w:p>
        </w:tc>
        <w:tc>
          <w:tcPr>
            <w:tcW w:w="6028" w:type="dxa"/>
            <w:tcBorders>
              <w:top w:val="outset" w:sz="6" w:space="0" w:color="auto"/>
              <w:left w:val="outset" w:sz="6" w:space="0" w:color="auto"/>
              <w:bottom w:val="outset" w:sz="6" w:space="0" w:color="auto"/>
              <w:right w:val="outset" w:sz="6" w:space="0" w:color="auto"/>
            </w:tcBorders>
            <w:shd w:val="clear" w:color="auto" w:fill="FFFFFF"/>
            <w:hideMark/>
          </w:tcPr>
          <w:p w14:paraId="2E85F166" w14:textId="77777777" w:rsidR="00FA1D60" w:rsidRDefault="00FA1D60" w:rsidP="00D04F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Опис альтернативи</w:t>
            </w:r>
          </w:p>
        </w:tc>
      </w:tr>
      <w:tr w:rsidR="00FA1D60" w:rsidRPr="00D2506F" w14:paraId="6B01ACF3" w14:textId="77777777" w:rsidTr="00D04F71">
        <w:trPr>
          <w:tblCellSpacing w:w="0" w:type="dxa"/>
          <w:jc w:val="center"/>
        </w:trPr>
        <w:tc>
          <w:tcPr>
            <w:tcW w:w="3149" w:type="dxa"/>
            <w:tcBorders>
              <w:top w:val="outset" w:sz="6" w:space="0" w:color="auto"/>
              <w:left w:val="outset" w:sz="6" w:space="0" w:color="auto"/>
              <w:bottom w:val="outset" w:sz="6" w:space="0" w:color="auto"/>
              <w:right w:val="outset" w:sz="6" w:space="0" w:color="auto"/>
            </w:tcBorders>
            <w:shd w:val="clear" w:color="auto" w:fill="FFFFFF"/>
            <w:hideMark/>
          </w:tcPr>
          <w:p w14:paraId="586E4E2D" w14:textId="77777777" w:rsidR="00FA1D60" w:rsidRDefault="00FA1D60" w:rsidP="00D04F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1</w:t>
            </w:r>
          </w:p>
        </w:tc>
        <w:tc>
          <w:tcPr>
            <w:tcW w:w="6028" w:type="dxa"/>
            <w:tcBorders>
              <w:top w:val="outset" w:sz="6" w:space="0" w:color="auto"/>
              <w:left w:val="outset" w:sz="6" w:space="0" w:color="auto"/>
              <w:bottom w:val="outset" w:sz="6" w:space="0" w:color="auto"/>
              <w:right w:val="outset" w:sz="6" w:space="0" w:color="auto"/>
            </w:tcBorders>
            <w:shd w:val="clear" w:color="auto" w:fill="FFFFFF"/>
            <w:hideMark/>
          </w:tcPr>
          <w:p w14:paraId="1AB9F53C" w14:textId="77777777" w:rsidR="00FA1D60" w:rsidRDefault="00FA1D60" w:rsidP="00D04F71">
            <w:pPr>
              <w:pStyle w:val="TableParagraph"/>
              <w:ind w:right="30"/>
              <w:jc w:val="both"/>
              <w:rPr>
                <w:sz w:val="28"/>
                <w:szCs w:val="28"/>
              </w:rPr>
            </w:pPr>
            <w:r w:rsidRPr="008818DC">
              <w:rPr>
                <w:sz w:val="28"/>
                <w:szCs w:val="28"/>
              </w:rPr>
              <w:t>Залишити чинний регуляторний акт (</w:t>
            </w:r>
            <w:r w:rsidRPr="008818DC">
              <w:rPr>
                <w:rFonts w:eastAsia="Calibri"/>
                <w:sz w:val="28"/>
                <w:szCs w:val="28"/>
                <w:lang w:eastAsia="zh-CN"/>
              </w:rPr>
              <w:t>Методика розрахунку орендної плати за майно територіальної громади міста Києва, яке передається в оренду</w:t>
            </w:r>
            <w:r w:rsidRPr="008818DC">
              <w:rPr>
                <w:sz w:val="28"/>
                <w:szCs w:val="28"/>
              </w:rPr>
              <w:t xml:space="preserve">, затверджена </w:t>
            </w:r>
            <w:r w:rsidRPr="008818DC">
              <w:rPr>
                <w:rFonts w:eastAsia="Calibri"/>
                <w:sz w:val="28"/>
                <w:szCs w:val="28"/>
                <w:lang w:eastAsia="zh-CN"/>
              </w:rPr>
              <w:t>рішенням Київської міської ради від 21 квітня 2015 року №415/1280 «Про затвердження Положення про оренду майна територіальної громади міста  Києва»</w:t>
            </w:r>
            <w:r w:rsidRPr="008818DC">
              <w:rPr>
                <w:sz w:val="28"/>
                <w:szCs w:val="28"/>
              </w:rPr>
              <w:t>).</w:t>
            </w:r>
          </w:p>
        </w:tc>
      </w:tr>
      <w:tr w:rsidR="00FA1D60" w14:paraId="3EDBB28A" w14:textId="77777777" w:rsidTr="00D04F71">
        <w:trPr>
          <w:tblCellSpacing w:w="0" w:type="dxa"/>
          <w:jc w:val="center"/>
        </w:trPr>
        <w:tc>
          <w:tcPr>
            <w:tcW w:w="3149" w:type="dxa"/>
            <w:tcBorders>
              <w:top w:val="outset" w:sz="6" w:space="0" w:color="auto"/>
              <w:left w:val="outset" w:sz="6" w:space="0" w:color="auto"/>
              <w:bottom w:val="outset" w:sz="6" w:space="0" w:color="auto"/>
              <w:right w:val="outset" w:sz="6" w:space="0" w:color="auto"/>
            </w:tcBorders>
            <w:shd w:val="clear" w:color="auto" w:fill="FFFFFF"/>
            <w:hideMark/>
          </w:tcPr>
          <w:p w14:paraId="3A54E249" w14:textId="77777777" w:rsidR="00FA1D60" w:rsidRDefault="00FA1D60" w:rsidP="00D04F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2</w:t>
            </w:r>
          </w:p>
        </w:tc>
        <w:tc>
          <w:tcPr>
            <w:tcW w:w="6028" w:type="dxa"/>
            <w:tcBorders>
              <w:top w:val="outset" w:sz="6" w:space="0" w:color="auto"/>
              <w:left w:val="outset" w:sz="6" w:space="0" w:color="auto"/>
              <w:bottom w:val="outset" w:sz="6" w:space="0" w:color="auto"/>
              <w:right w:val="outset" w:sz="6" w:space="0" w:color="auto"/>
            </w:tcBorders>
            <w:shd w:val="clear" w:color="auto" w:fill="FFFFFF"/>
            <w:hideMark/>
          </w:tcPr>
          <w:p w14:paraId="6579D5AC" w14:textId="77777777" w:rsidR="00FA1D60" w:rsidRDefault="00FA1D60" w:rsidP="00D04F71">
            <w:pPr>
              <w:pStyle w:val="TableParagraph"/>
              <w:ind w:right="30"/>
              <w:jc w:val="both"/>
              <w:rPr>
                <w:sz w:val="28"/>
                <w:szCs w:val="28"/>
              </w:rPr>
            </w:pPr>
            <w:r w:rsidRPr="008818DC">
              <w:rPr>
                <w:sz w:val="28"/>
                <w:szCs w:val="28"/>
              </w:rPr>
              <w:t xml:space="preserve">Прийняття нового регуляторного </w:t>
            </w:r>
            <w:proofErr w:type="spellStart"/>
            <w:r w:rsidRPr="008818DC">
              <w:rPr>
                <w:sz w:val="28"/>
                <w:szCs w:val="28"/>
              </w:rPr>
              <w:t>акта</w:t>
            </w:r>
            <w:proofErr w:type="spellEnd"/>
            <w:r w:rsidRPr="008818DC">
              <w:rPr>
                <w:sz w:val="28"/>
                <w:szCs w:val="28"/>
              </w:rPr>
              <w:t>.</w:t>
            </w:r>
          </w:p>
          <w:p w14:paraId="0E070872" w14:textId="77777777" w:rsidR="00FA1D60" w:rsidRDefault="00FA1D60" w:rsidP="00D04F71">
            <w:pPr>
              <w:pStyle w:val="TableParagraph"/>
              <w:ind w:right="30"/>
              <w:jc w:val="both"/>
              <w:rPr>
                <w:sz w:val="28"/>
                <w:szCs w:val="28"/>
              </w:rPr>
            </w:pPr>
          </w:p>
        </w:tc>
      </w:tr>
    </w:tbl>
    <w:p w14:paraId="0D5D29A9" w14:textId="77777777" w:rsidR="00FA1D60" w:rsidRDefault="00FA1D60" w:rsidP="00FA1D60">
      <w:pPr>
        <w:shd w:val="clear" w:color="auto" w:fill="FFFFFF"/>
        <w:spacing w:after="0" w:line="240" w:lineRule="auto"/>
        <w:ind w:firstLine="567"/>
        <w:jc w:val="both"/>
        <w:rPr>
          <w:rFonts w:ascii="Times New Roman" w:eastAsia="Times New Roman" w:hAnsi="Times New Roman" w:cs="Times New Roman"/>
          <w:sz w:val="28"/>
          <w:szCs w:val="28"/>
          <w:highlight w:val="yellow"/>
        </w:rPr>
      </w:pPr>
    </w:p>
    <w:p w14:paraId="4A13DD7C" w14:textId="77777777" w:rsidR="00FA1D60" w:rsidRDefault="00FA1D60" w:rsidP="00FA1D6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2.Оцінка вибраних альтернативних способів досягнення цілей</w:t>
      </w:r>
    </w:p>
    <w:p w14:paraId="7724B483" w14:textId="77777777" w:rsidR="00FA1D60" w:rsidRDefault="00FA1D60" w:rsidP="00FA1D60">
      <w:pPr>
        <w:shd w:val="clear" w:color="auto" w:fill="FFFFFF"/>
        <w:spacing w:after="0" w:line="240" w:lineRule="auto"/>
        <w:ind w:firstLine="567"/>
        <w:jc w:val="both"/>
        <w:rPr>
          <w:rFonts w:ascii="Times New Roman" w:eastAsia="Times New Roman" w:hAnsi="Times New Roman" w:cs="Times New Roman"/>
          <w:sz w:val="16"/>
          <w:szCs w:val="16"/>
        </w:rPr>
      </w:pPr>
    </w:p>
    <w:p w14:paraId="562DF6F5" w14:textId="77777777" w:rsidR="00FA1D60" w:rsidRDefault="00FA1D60" w:rsidP="00FA1D6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Оцінка впливу на сферу інтересів держави:</w:t>
      </w:r>
    </w:p>
    <w:p w14:paraId="3C67E81A" w14:textId="77777777" w:rsidR="00FA1D60" w:rsidRDefault="00FA1D60" w:rsidP="00FA1D60">
      <w:pPr>
        <w:shd w:val="clear" w:color="auto" w:fill="FFFFFF"/>
        <w:spacing w:after="0" w:line="240" w:lineRule="auto"/>
        <w:ind w:firstLine="567"/>
        <w:jc w:val="both"/>
        <w:rPr>
          <w:rFonts w:ascii="Times New Roman" w:eastAsia="Times New Roman" w:hAnsi="Times New Roman" w:cs="Times New Roman"/>
          <w:sz w:val="28"/>
          <w:szCs w:val="28"/>
        </w:rPr>
      </w:pPr>
    </w:p>
    <w:tbl>
      <w:tblPr>
        <w:tblW w:w="906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42"/>
        <w:gridCol w:w="3053"/>
        <w:gridCol w:w="3970"/>
      </w:tblGrid>
      <w:tr w:rsidR="00FA1D60" w14:paraId="74BE5DB3" w14:textId="77777777" w:rsidTr="00D04F71">
        <w:trPr>
          <w:tblCellSpacing w:w="0" w:type="dxa"/>
          <w:jc w:val="center"/>
        </w:trPr>
        <w:tc>
          <w:tcPr>
            <w:tcW w:w="2042" w:type="dxa"/>
            <w:tcBorders>
              <w:top w:val="outset" w:sz="6" w:space="0" w:color="auto"/>
              <w:left w:val="outset" w:sz="6" w:space="0" w:color="auto"/>
              <w:bottom w:val="outset" w:sz="6" w:space="0" w:color="auto"/>
              <w:right w:val="outset" w:sz="6" w:space="0" w:color="auto"/>
            </w:tcBorders>
            <w:shd w:val="clear" w:color="auto" w:fill="FFFFFF"/>
            <w:hideMark/>
          </w:tcPr>
          <w:p w14:paraId="793FF1C7" w14:textId="77777777" w:rsidR="00FA1D60" w:rsidRDefault="00FA1D60" w:rsidP="00D04F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Вид альтернативи</w:t>
            </w:r>
          </w:p>
        </w:tc>
        <w:tc>
          <w:tcPr>
            <w:tcW w:w="3053" w:type="dxa"/>
            <w:tcBorders>
              <w:top w:val="outset" w:sz="6" w:space="0" w:color="auto"/>
              <w:left w:val="outset" w:sz="6" w:space="0" w:color="auto"/>
              <w:bottom w:val="outset" w:sz="6" w:space="0" w:color="auto"/>
              <w:right w:val="outset" w:sz="6" w:space="0" w:color="auto"/>
            </w:tcBorders>
            <w:shd w:val="clear" w:color="auto" w:fill="FFFFFF"/>
            <w:hideMark/>
          </w:tcPr>
          <w:p w14:paraId="252B524F" w14:textId="77777777" w:rsidR="00FA1D60" w:rsidRDefault="00FA1D60" w:rsidP="00D04F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Вигоди</w:t>
            </w:r>
          </w:p>
        </w:tc>
        <w:tc>
          <w:tcPr>
            <w:tcW w:w="3970" w:type="dxa"/>
            <w:tcBorders>
              <w:top w:val="outset" w:sz="6" w:space="0" w:color="auto"/>
              <w:left w:val="outset" w:sz="6" w:space="0" w:color="auto"/>
              <w:bottom w:val="outset" w:sz="6" w:space="0" w:color="auto"/>
              <w:right w:val="outset" w:sz="6" w:space="0" w:color="auto"/>
            </w:tcBorders>
            <w:shd w:val="clear" w:color="auto" w:fill="FFFFFF"/>
            <w:hideMark/>
          </w:tcPr>
          <w:p w14:paraId="0A0173A6" w14:textId="77777777" w:rsidR="00FA1D60" w:rsidRDefault="00FA1D60" w:rsidP="00D04F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Витрати</w:t>
            </w:r>
          </w:p>
        </w:tc>
      </w:tr>
      <w:tr w:rsidR="00FA1D60" w:rsidRPr="00D2506F" w14:paraId="431161B7" w14:textId="77777777" w:rsidTr="00D04F71">
        <w:trPr>
          <w:tblCellSpacing w:w="0" w:type="dxa"/>
          <w:jc w:val="center"/>
        </w:trPr>
        <w:tc>
          <w:tcPr>
            <w:tcW w:w="2042" w:type="dxa"/>
            <w:tcBorders>
              <w:top w:val="outset" w:sz="6" w:space="0" w:color="auto"/>
              <w:left w:val="outset" w:sz="6" w:space="0" w:color="auto"/>
              <w:bottom w:val="outset" w:sz="6" w:space="0" w:color="auto"/>
              <w:right w:val="outset" w:sz="6" w:space="0" w:color="auto"/>
            </w:tcBorders>
            <w:shd w:val="clear" w:color="auto" w:fill="FFFFFF"/>
            <w:hideMark/>
          </w:tcPr>
          <w:p w14:paraId="461D9749" w14:textId="77777777" w:rsidR="00FA1D60" w:rsidRDefault="00FA1D60" w:rsidP="00D04F7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1</w:t>
            </w:r>
          </w:p>
        </w:tc>
        <w:tc>
          <w:tcPr>
            <w:tcW w:w="3053" w:type="dxa"/>
            <w:tcBorders>
              <w:top w:val="outset" w:sz="6" w:space="0" w:color="auto"/>
              <w:left w:val="outset" w:sz="6" w:space="0" w:color="auto"/>
              <w:bottom w:val="outset" w:sz="6" w:space="0" w:color="auto"/>
              <w:right w:val="outset" w:sz="6" w:space="0" w:color="auto"/>
            </w:tcBorders>
            <w:shd w:val="clear" w:color="auto" w:fill="FFFFFF"/>
            <w:hideMark/>
          </w:tcPr>
          <w:p w14:paraId="78419DB6" w14:textId="77777777" w:rsidR="00FA1D60" w:rsidRDefault="00FA1D60" w:rsidP="00D04F71">
            <w:pPr>
              <w:spacing w:after="0" w:line="240" w:lineRule="auto"/>
              <w:ind w:left="62"/>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w:t>
            </w:r>
          </w:p>
        </w:tc>
        <w:tc>
          <w:tcPr>
            <w:tcW w:w="3970" w:type="dxa"/>
            <w:tcBorders>
              <w:top w:val="outset" w:sz="6" w:space="0" w:color="auto"/>
              <w:left w:val="outset" w:sz="6" w:space="0" w:color="auto"/>
              <w:bottom w:val="outset" w:sz="6" w:space="0" w:color="auto"/>
              <w:right w:val="outset" w:sz="6" w:space="0" w:color="auto"/>
            </w:tcBorders>
            <w:shd w:val="clear" w:color="auto" w:fill="FFFFFF"/>
          </w:tcPr>
          <w:p w14:paraId="084C594A" w14:textId="46942926" w:rsidR="00FA1D60" w:rsidRPr="00D51159" w:rsidRDefault="00FA1D60" w:rsidP="00D04F71">
            <w:pPr>
              <w:pStyle w:val="TableParagraph"/>
              <w:ind w:left="125" w:right="129"/>
              <w:jc w:val="both"/>
              <w:rPr>
                <w:sz w:val="28"/>
                <w:szCs w:val="28"/>
              </w:rPr>
            </w:pPr>
            <w:r w:rsidRPr="00577339">
              <w:rPr>
                <w:sz w:val="28"/>
                <w:szCs w:val="28"/>
              </w:rPr>
              <w:t xml:space="preserve">Методика розрахунку орендної плати за майно </w:t>
            </w:r>
            <w:r w:rsidR="00577339" w:rsidRPr="00577339">
              <w:rPr>
                <w:sz w:val="28"/>
                <w:szCs w:val="28"/>
              </w:rPr>
              <w:t xml:space="preserve">Люблинецької селищної </w:t>
            </w:r>
            <w:r w:rsidRPr="00577339">
              <w:rPr>
                <w:sz w:val="28"/>
                <w:szCs w:val="28"/>
              </w:rPr>
              <w:t>територіальної громади, яке передається в оренду, затверджена</w:t>
            </w:r>
            <w:r w:rsidR="00577339">
              <w:rPr>
                <w:sz w:val="28"/>
                <w:szCs w:val="28"/>
              </w:rPr>
              <w:t xml:space="preserve"> </w:t>
            </w:r>
            <w:r w:rsidR="00577339" w:rsidRPr="00C52690">
              <w:rPr>
                <w:sz w:val="28"/>
                <w:szCs w:val="28"/>
              </w:rPr>
              <w:t xml:space="preserve">рішенням </w:t>
            </w:r>
            <w:r w:rsidR="00577339">
              <w:rPr>
                <w:sz w:val="28"/>
                <w:szCs w:val="28"/>
              </w:rPr>
              <w:t>Люблинецької селищної</w:t>
            </w:r>
            <w:r w:rsidR="00577339" w:rsidRPr="00C52690">
              <w:rPr>
                <w:sz w:val="28"/>
                <w:szCs w:val="28"/>
              </w:rPr>
              <w:t xml:space="preserve"> ради </w:t>
            </w:r>
            <w:r w:rsidR="00577339" w:rsidRPr="0040277E">
              <w:rPr>
                <w:sz w:val="28"/>
                <w:szCs w:val="28"/>
              </w:rPr>
              <w:t>від 15 березня 2007 року № 8/4 «Про окремі питання управління майном спільної власності територіальної громади селищної ради</w:t>
            </w:r>
            <w:r w:rsidR="00577339" w:rsidRPr="00577339">
              <w:rPr>
                <w:sz w:val="28"/>
                <w:szCs w:val="28"/>
              </w:rPr>
              <w:t>»</w:t>
            </w:r>
            <w:r w:rsidRPr="00577339">
              <w:rPr>
                <w:sz w:val="28"/>
                <w:szCs w:val="28"/>
              </w:rPr>
              <w:t>, не</w:t>
            </w:r>
            <w:r w:rsidRPr="00577339">
              <w:rPr>
                <w:spacing w:val="55"/>
                <w:sz w:val="28"/>
                <w:szCs w:val="28"/>
              </w:rPr>
              <w:t xml:space="preserve"> </w:t>
            </w:r>
            <w:r w:rsidRPr="00577339">
              <w:rPr>
                <w:sz w:val="28"/>
                <w:szCs w:val="28"/>
              </w:rPr>
              <w:t xml:space="preserve">відповідатиме  положенням Закону України від 03 жовтня 2019 року № 157-ІХ «Про </w:t>
            </w:r>
            <w:r w:rsidRPr="00577339">
              <w:rPr>
                <w:sz w:val="28"/>
                <w:szCs w:val="28"/>
              </w:rPr>
              <w:lastRenderedPageBreak/>
              <w:t>оренду державного і комунального майна».</w:t>
            </w:r>
          </w:p>
          <w:p w14:paraId="740A1D42" w14:textId="77777777" w:rsidR="00FA1D60" w:rsidRDefault="00FA1D60" w:rsidP="00D04F71">
            <w:pPr>
              <w:spacing w:after="0" w:line="240" w:lineRule="auto"/>
              <w:ind w:left="126"/>
              <w:rPr>
                <w:rFonts w:ascii="Times New Roman" w:eastAsia="Times New Roman" w:hAnsi="Times New Roman" w:cs="Times New Roman"/>
                <w:sz w:val="28"/>
                <w:szCs w:val="28"/>
              </w:rPr>
            </w:pPr>
          </w:p>
        </w:tc>
      </w:tr>
      <w:tr w:rsidR="00FA1D60" w14:paraId="6C1382A4" w14:textId="77777777" w:rsidTr="00D04F71">
        <w:trPr>
          <w:trHeight w:val="480"/>
          <w:tblCellSpacing w:w="0" w:type="dxa"/>
          <w:jc w:val="center"/>
        </w:trPr>
        <w:tc>
          <w:tcPr>
            <w:tcW w:w="2042" w:type="dxa"/>
            <w:tcBorders>
              <w:top w:val="outset" w:sz="6" w:space="0" w:color="auto"/>
              <w:left w:val="outset" w:sz="6" w:space="0" w:color="auto"/>
              <w:bottom w:val="outset" w:sz="6" w:space="0" w:color="auto"/>
              <w:right w:val="outset" w:sz="6" w:space="0" w:color="auto"/>
            </w:tcBorders>
            <w:shd w:val="clear" w:color="auto" w:fill="FFFFFF"/>
            <w:hideMark/>
          </w:tcPr>
          <w:p w14:paraId="0CDE8353" w14:textId="77777777" w:rsidR="00FA1D60" w:rsidRDefault="00FA1D60" w:rsidP="00D04F71">
            <w:pPr>
              <w:spacing w:after="0" w:line="240" w:lineRule="auto"/>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lastRenderedPageBreak/>
              <w:t>Альтернатива 2</w:t>
            </w:r>
          </w:p>
        </w:tc>
        <w:tc>
          <w:tcPr>
            <w:tcW w:w="3053" w:type="dxa"/>
            <w:tcBorders>
              <w:top w:val="outset" w:sz="6" w:space="0" w:color="auto"/>
              <w:left w:val="outset" w:sz="6" w:space="0" w:color="auto"/>
              <w:bottom w:val="nil"/>
              <w:right w:val="outset" w:sz="6" w:space="0" w:color="auto"/>
            </w:tcBorders>
            <w:shd w:val="clear" w:color="auto" w:fill="FFFFFF"/>
          </w:tcPr>
          <w:p w14:paraId="4F60B276" w14:textId="77777777" w:rsidR="00FA1D60" w:rsidRPr="008818DC" w:rsidRDefault="00FA1D60" w:rsidP="00D04F71">
            <w:pPr>
              <w:pStyle w:val="TableParagraph"/>
              <w:ind w:left="51" w:right="123"/>
              <w:jc w:val="both"/>
              <w:rPr>
                <w:sz w:val="28"/>
                <w:szCs w:val="28"/>
              </w:rPr>
            </w:pPr>
            <w:r w:rsidRPr="008818DC">
              <w:rPr>
                <w:sz w:val="28"/>
                <w:szCs w:val="28"/>
              </w:rPr>
              <w:t>Забезпечить виконання положень Закону України від 03 жовтня 2019 року № 157-ІХ «Про оренду державного і комунального майна», а також орендарів, які мають право на укладення договору оренди без проведення аукціону – механізмом розрахунку орендної плати в залежності від статусу орендаря.</w:t>
            </w:r>
          </w:p>
          <w:p w14:paraId="4BAB3242" w14:textId="77777777" w:rsidR="00FA1D60" w:rsidRDefault="00FA1D60" w:rsidP="00D04F71">
            <w:pPr>
              <w:pStyle w:val="TableParagraph"/>
              <w:spacing w:line="276" w:lineRule="auto"/>
              <w:ind w:left="0"/>
              <w:rPr>
                <w:sz w:val="28"/>
                <w:szCs w:val="28"/>
                <w:lang w:eastAsia="ru-RU"/>
              </w:rPr>
            </w:pPr>
          </w:p>
        </w:tc>
        <w:tc>
          <w:tcPr>
            <w:tcW w:w="3970" w:type="dxa"/>
            <w:tcBorders>
              <w:top w:val="outset" w:sz="6" w:space="0" w:color="auto"/>
              <w:left w:val="outset" w:sz="6" w:space="0" w:color="auto"/>
              <w:bottom w:val="nil"/>
              <w:right w:val="outset" w:sz="6" w:space="0" w:color="auto"/>
            </w:tcBorders>
            <w:shd w:val="clear" w:color="auto" w:fill="FFFFFF"/>
            <w:hideMark/>
          </w:tcPr>
          <w:p w14:paraId="01B3DC35" w14:textId="77777777" w:rsidR="00FA1D60" w:rsidRDefault="00FA1D60" w:rsidP="00D04F71">
            <w:pPr>
              <w:spacing w:after="0" w:line="240" w:lineRule="auto"/>
              <w:ind w:left="203"/>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Відсутні</w:t>
            </w:r>
          </w:p>
        </w:tc>
      </w:tr>
    </w:tbl>
    <w:p w14:paraId="4387BFEC" w14:textId="77777777" w:rsidR="00FA1D60" w:rsidRDefault="00FA1D60" w:rsidP="00FA1D60">
      <w:pPr>
        <w:shd w:val="clear" w:color="auto" w:fill="FFFFFF"/>
        <w:spacing w:after="0" w:line="240" w:lineRule="auto"/>
        <w:ind w:firstLine="567"/>
        <w:rPr>
          <w:rFonts w:ascii="Times New Roman" w:eastAsia="Times New Roman" w:hAnsi="Times New Roman" w:cs="Times New Roman"/>
          <w:sz w:val="28"/>
          <w:szCs w:val="28"/>
          <w:highlight w:val="yellow"/>
        </w:rPr>
      </w:pPr>
    </w:p>
    <w:p w14:paraId="49DA9255" w14:textId="77777777" w:rsidR="00FA1D60" w:rsidRPr="00216BDD" w:rsidRDefault="00FA1D60"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Вплив на сферу інтересів громадян відсутній. Оцінка не проводилась.</w:t>
      </w:r>
    </w:p>
    <w:p w14:paraId="612C994C" w14:textId="77777777" w:rsidR="00FA1D60" w:rsidRPr="00216BDD" w:rsidRDefault="00FA1D60" w:rsidP="00216BDD">
      <w:pPr>
        <w:spacing w:before="10" w:after="10" w:line="240" w:lineRule="auto"/>
        <w:ind w:left="284" w:right="284" w:firstLine="709"/>
        <w:jc w:val="both"/>
        <w:rPr>
          <w:rFonts w:ascii="Times New Roman" w:hAnsi="Times New Roman" w:cs="Times New Roman"/>
          <w:sz w:val="28"/>
          <w:szCs w:val="28"/>
        </w:rPr>
      </w:pPr>
    </w:p>
    <w:p w14:paraId="0701F153" w14:textId="77777777" w:rsidR="00FA1D60" w:rsidRPr="00216BDD" w:rsidRDefault="00FA1D60"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Оцінка впливу на сферу інтересів суб’єктів господарювання:</w:t>
      </w:r>
    </w:p>
    <w:p w14:paraId="53273AC0" w14:textId="77777777" w:rsidR="00FA1D60" w:rsidRPr="00216BDD" w:rsidRDefault="00FA1D60" w:rsidP="00216BDD">
      <w:pPr>
        <w:spacing w:before="10" w:after="10" w:line="240" w:lineRule="auto"/>
        <w:ind w:left="284" w:right="284" w:firstLine="709"/>
        <w:jc w:val="both"/>
        <w:rPr>
          <w:rFonts w:ascii="Times New Roman" w:hAnsi="Times New Roman" w:cs="Times New Roman"/>
          <w:sz w:val="28"/>
          <w:szCs w:val="28"/>
        </w:rPr>
      </w:pPr>
    </w:p>
    <w:p w14:paraId="7386CE6E" w14:textId="5BF109D5"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3. Оцінка впливу на сферу інтересів суб’єктів господарювання</w:t>
      </w:r>
    </w:p>
    <w:p w14:paraId="15AA462D"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Оцінку впливу на сферу інтересів суб’єктів господарювання здійснено з урахуванням діючих договорів оренди комунального майна, орендарями яких є суб’єкти підприємницької діяльності.</w:t>
      </w:r>
    </w:p>
    <w:p w14:paraId="3BECC409" w14:textId="404BE0FD" w:rsidR="00216BD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Станом на 01.</w:t>
      </w:r>
      <w:r w:rsidR="002E535F" w:rsidRPr="00216BDD">
        <w:rPr>
          <w:rFonts w:ascii="Times New Roman" w:hAnsi="Times New Roman" w:cs="Times New Roman"/>
          <w:sz w:val="28"/>
          <w:szCs w:val="28"/>
        </w:rPr>
        <w:t>10</w:t>
      </w:r>
      <w:r w:rsidRPr="00216BDD">
        <w:rPr>
          <w:rFonts w:ascii="Times New Roman" w:hAnsi="Times New Roman" w:cs="Times New Roman"/>
          <w:sz w:val="28"/>
          <w:szCs w:val="28"/>
        </w:rPr>
        <w:t>.202</w:t>
      </w:r>
      <w:r w:rsidR="002E535F" w:rsidRPr="00216BDD">
        <w:rPr>
          <w:rFonts w:ascii="Times New Roman" w:hAnsi="Times New Roman" w:cs="Times New Roman"/>
          <w:sz w:val="28"/>
          <w:szCs w:val="28"/>
        </w:rPr>
        <w:t>5 року</w:t>
      </w:r>
      <w:r w:rsidRPr="00216BDD">
        <w:rPr>
          <w:rFonts w:ascii="Times New Roman" w:hAnsi="Times New Roman" w:cs="Times New Roman"/>
          <w:sz w:val="28"/>
          <w:szCs w:val="28"/>
        </w:rPr>
        <w:t xml:space="preserve"> за даними </w:t>
      </w:r>
      <w:r w:rsidR="002E535F" w:rsidRPr="00216BDD">
        <w:rPr>
          <w:rFonts w:ascii="Times New Roman" w:hAnsi="Times New Roman" w:cs="Times New Roman"/>
          <w:sz w:val="28"/>
          <w:szCs w:val="28"/>
        </w:rPr>
        <w:t>Виконавчого комітету Люблинецької селищної ради</w:t>
      </w:r>
      <w:r w:rsidRPr="00216BDD">
        <w:rPr>
          <w:rFonts w:ascii="Times New Roman" w:hAnsi="Times New Roman" w:cs="Times New Roman"/>
          <w:sz w:val="28"/>
          <w:szCs w:val="28"/>
        </w:rPr>
        <w:t xml:space="preserve">, яке є орендодавцем нерухомого комунального майна, що перебуває на балансі </w:t>
      </w:r>
      <w:r w:rsidR="002E535F" w:rsidRPr="00216BDD">
        <w:rPr>
          <w:rFonts w:ascii="Times New Roman" w:hAnsi="Times New Roman" w:cs="Times New Roman"/>
          <w:sz w:val="28"/>
          <w:szCs w:val="28"/>
        </w:rPr>
        <w:t>Виконавчого комітету Люблинецької селищної ради</w:t>
      </w:r>
      <w:r w:rsidRPr="00216BDD">
        <w:rPr>
          <w:rFonts w:ascii="Times New Roman" w:hAnsi="Times New Roman" w:cs="Times New Roman"/>
          <w:sz w:val="28"/>
          <w:szCs w:val="28"/>
        </w:rPr>
        <w:t xml:space="preserve">, та нерухомого майна інших балансоутримувачів комунального майна, загальна площа якого перевищує 400 квадратних метрів на одного балансоутримувача, та  інформацією балансоутримувачів, які виступають орендодавцями нерухомого комунального майна, загальна площа якого не перевищує 400 квадратних метрів на одного балансоутримувача, </w:t>
      </w:r>
      <w:r w:rsidR="00216BDD" w:rsidRPr="00216BDD">
        <w:rPr>
          <w:rFonts w:ascii="Times New Roman" w:hAnsi="Times New Roman" w:cs="Times New Roman"/>
          <w:sz w:val="28"/>
          <w:szCs w:val="28"/>
        </w:rPr>
        <w:t>5 суб’єктів господарювання (орендарі комунального майна) мають виконати вимоги регулювання, а саме мають право на продовження договорів оренди відповідно до Закону на тих же умовах, у разі, якщо цей договір продовжується вперше (із загальної кількості 6), або 83% від загальної кількості орендарів суб’єктів підприємництва та ФОП.</w:t>
      </w:r>
    </w:p>
    <w:p w14:paraId="052962B1" w14:textId="415A952C" w:rsidR="00216BDD" w:rsidRPr="00216BDD" w:rsidRDefault="00216BD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lastRenderedPageBreak/>
        <w:t>Отже, питома вага суб’єктів малого підприємництва у загальній кількості суб’єктів господарювання, на яких поширюється регулювання становить  83% відсотки.</w:t>
      </w:r>
    </w:p>
    <w:tbl>
      <w:tblPr>
        <w:tblW w:w="9740" w:type="dxa"/>
        <w:tblInd w:w="-106" w:type="dxa"/>
        <w:tblLayout w:type="fixed"/>
        <w:tblLook w:val="0000" w:firstRow="0" w:lastRow="0" w:firstColumn="0" w:lastColumn="0" w:noHBand="0" w:noVBand="0"/>
      </w:tblPr>
      <w:tblGrid>
        <w:gridCol w:w="2086"/>
        <w:gridCol w:w="2268"/>
        <w:gridCol w:w="1843"/>
        <w:gridCol w:w="3543"/>
      </w:tblGrid>
      <w:tr w:rsidR="006A4A29" w:rsidRPr="00216BDD" w14:paraId="101C6F33" w14:textId="77777777" w:rsidTr="006A4A29">
        <w:trPr>
          <w:trHeight w:val="507"/>
        </w:trPr>
        <w:tc>
          <w:tcPr>
            <w:tcW w:w="2086" w:type="dxa"/>
            <w:vMerge w:val="restart"/>
            <w:tcBorders>
              <w:top w:val="single" w:sz="4" w:space="0" w:color="000000"/>
              <w:left w:val="single" w:sz="4" w:space="0" w:color="000000"/>
              <w:bottom w:val="single" w:sz="4" w:space="0" w:color="000000"/>
              <w:right w:val="single" w:sz="4" w:space="0" w:color="000000"/>
            </w:tcBorders>
          </w:tcPr>
          <w:p w14:paraId="61E3EFDE" w14:textId="77777777"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proofErr w:type="spellStart"/>
            <w:r w:rsidRPr="00216BDD">
              <w:rPr>
                <w:rFonts w:ascii="Times New Roman" w:hAnsi="Times New Roman" w:cs="Times New Roman"/>
                <w:sz w:val="28"/>
                <w:szCs w:val="28"/>
              </w:rPr>
              <w:t>Показни</w:t>
            </w:r>
            <w:proofErr w:type="spellEnd"/>
          </w:p>
        </w:tc>
        <w:tc>
          <w:tcPr>
            <w:tcW w:w="2268" w:type="dxa"/>
            <w:vMerge w:val="restart"/>
            <w:tcBorders>
              <w:top w:val="single" w:sz="4" w:space="0" w:color="000000"/>
              <w:left w:val="single" w:sz="4" w:space="0" w:color="000000"/>
              <w:bottom w:val="single" w:sz="4" w:space="0" w:color="000000"/>
              <w:right w:val="single" w:sz="4" w:space="0" w:color="000000"/>
            </w:tcBorders>
          </w:tcPr>
          <w:p w14:paraId="49A3E43A" w14:textId="361198B8"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Великі/Середні</w:t>
            </w:r>
          </w:p>
        </w:tc>
        <w:tc>
          <w:tcPr>
            <w:tcW w:w="1843" w:type="dxa"/>
            <w:vMerge w:val="restart"/>
            <w:tcBorders>
              <w:top w:val="single" w:sz="4" w:space="0" w:color="000000"/>
              <w:left w:val="single" w:sz="4" w:space="0" w:color="000000"/>
              <w:bottom w:val="single" w:sz="4" w:space="0" w:color="000000"/>
              <w:right w:val="single" w:sz="4" w:space="0" w:color="000000"/>
            </w:tcBorders>
          </w:tcPr>
          <w:p w14:paraId="2F77588B" w14:textId="203AA9D8"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Малі/Мікро</w:t>
            </w:r>
          </w:p>
          <w:p w14:paraId="108C98C7" w14:textId="77777777"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14:paraId="7B71C62F" w14:textId="77777777"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p>
          <w:p w14:paraId="56CCF694" w14:textId="77777777"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Разом</w:t>
            </w:r>
          </w:p>
        </w:tc>
      </w:tr>
      <w:tr w:rsidR="006A4A29" w:rsidRPr="00216BDD" w14:paraId="063C382C" w14:textId="77777777" w:rsidTr="006A4A29">
        <w:trPr>
          <w:trHeight w:val="645"/>
        </w:trPr>
        <w:tc>
          <w:tcPr>
            <w:tcW w:w="2086" w:type="dxa"/>
            <w:vMerge/>
            <w:tcBorders>
              <w:top w:val="single" w:sz="4" w:space="0" w:color="000000"/>
              <w:left w:val="single" w:sz="4" w:space="0" w:color="000000"/>
              <w:bottom w:val="single" w:sz="4" w:space="0" w:color="000000"/>
              <w:right w:val="single" w:sz="4" w:space="0" w:color="000000"/>
            </w:tcBorders>
          </w:tcPr>
          <w:p w14:paraId="2DE2AC6E" w14:textId="77777777"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p>
        </w:tc>
        <w:tc>
          <w:tcPr>
            <w:tcW w:w="2268" w:type="dxa"/>
            <w:vMerge/>
            <w:tcBorders>
              <w:top w:val="single" w:sz="4" w:space="0" w:color="000000"/>
              <w:left w:val="single" w:sz="4" w:space="0" w:color="000000"/>
              <w:bottom w:val="single" w:sz="4" w:space="0" w:color="000000"/>
              <w:right w:val="single" w:sz="4" w:space="0" w:color="000000"/>
            </w:tcBorders>
          </w:tcPr>
          <w:p w14:paraId="6BFDB493" w14:textId="77777777"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p>
        </w:tc>
        <w:tc>
          <w:tcPr>
            <w:tcW w:w="1843" w:type="dxa"/>
            <w:vMerge/>
            <w:tcBorders>
              <w:top w:val="single" w:sz="4" w:space="0" w:color="000000"/>
              <w:left w:val="single" w:sz="4" w:space="0" w:color="000000"/>
              <w:bottom w:val="single" w:sz="4" w:space="0" w:color="000000"/>
              <w:right w:val="single" w:sz="4" w:space="0" w:color="000000"/>
            </w:tcBorders>
          </w:tcPr>
          <w:p w14:paraId="7F056994" w14:textId="77777777"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p>
        </w:tc>
        <w:tc>
          <w:tcPr>
            <w:tcW w:w="3543" w:type="dxa"/>
            <w:vMerge/>
            <w:tcBorders>
              <w:top w:val="single" w:sz="4" w:space="0" w:color="000000"/>
              <w:left w:val="single" w:sz="4" w:space="0" w:color="000000"/>
              <w:bottom w:val="single" w:sz="4" w:space="0" w:color="000000"/>
              <w:right w:val="single" w:sz="4" w:space="0" w:color="000000"/>
            </w:tcBorders>
          </w:tcPr>
          <w:p w14:paraId="2910D806" w14:textId="77777777"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p>
        </w:tc>
      </w:tr>
      <w:tr w:rsidR="006A4A29" w:rsidRPr="00216BDD" w14:paraId="4CAB94D4" w14:textId="77777777" w:rsidTr="006A4A29">
        <w:trPr>
          <w:trHeight w:val="1427"/>
        </w:trPr>
        <w:tc>
          <w:tcPr>
            <w:tcW w:w="2086" w:type="dxa"/>
            <w:tcBorders>
              <w:top w:val="single" w:sz="4" w:space="0" w:color="000000"/>
              <w:left w:val="single" w:sz="4" w:space="0" w:color="000000"/>
              <w:bottom w:val="single" w:sz="4" w:space="0" w:color="000000"/>
              <w:right w:val="single" w:sz="4" w:space="0" w:color="000000"/>
            </w:tcBorders>
          </w:tcPr>
          <w:p w14:paraId="4F43A93B" w14:textId="77777777"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Кількість суб’єктів господарювання, що підпадають під дію регулювання, одиниць</w:t>
            </w:r>
          </w:p>
        </w:tc>
        <w:tc>
          <w:tcPr>
            <w:tcW w:w="2268" w:type="dxa"/>
            <w:tcBorders>
              <w:top w:val="single" w:sz="4" w:space="0" w:color="000000"/>
              <w:left w:val="single" w:sz="4" w:space="0" w:color="000000"/>
              <w:bottom w:val="single" w:sz="4" w:space="0" w:color="000000"/>
              <w:right w:val="single" w:sz="4" w:space="0" w:color="000000"/>
            </w:tcBorders>
          </w:tcPr>
          <w:p w14:paraId="71C00D94" w14:textId="2C5F5A24" w:rsidR="006A4A29" w:rsidRPr="00216BDD" w:rsidRDefault="00216BD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w:t>
            </w:r>
          </w:p>
        </w:tc>
        <w:tc>
          <w:tcPr>
            <w:tcW w:w="1843" w:type="dxa"/>
            <w:tcBorders>
              <w:top w:val="single" w:sz="4" w:space="0" w:color="000000"/>
              <w:left w:val="single" w:sz="4" w:space="0" w:color="000000"/>
              <w:bottom w:val="single" w:sz="4" w:space="0" w:color="000000"/>
              <w:right w:val="single" w:sz="4" w:space="0" w:color="000000"/>
            </w:tcBorders>
          </w:tcPr>
          <w:p w14:paraId="6FD5DC1A" w14:textId="6156D7A6"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5</w:t>
            </w:r>
          </w:p>
        </w:tc>
        <w:tc>
          <w:tcPr>
            <w:tcW w:w="3543" w:type="dxa"/>
            <w:tcBorders>
              <w:top w:val="single" w:sz="4" w:space="0" w:color="000000"/>
              <w:left w:val="single" w:sz="4" w:space="0" w:color="000000"/>
              <w:bottom w:val="single" w:sz="4" w:space="0" w:color="000000"/>
              <w:right w:val="single" w:sz="4" w:space="0" w:color="000000"/>
            </w:tcBorders>
          </w:tcPr>
          <w:p w14:paraId="1E8AC4C6" w14:textId="6C1B30CD" w:rsidR="006A4A29" w:rsidRPr="00216BDD" w:rsidRDefault="00216BD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5</w:t>
            </w:r>
          </w:p>
        </w:tc>
      </w:tr>
      <w:tr w:rsidR="006A4A29" w:rsidRPr="00216BDD" w14:paraId="61370641" w14:textId="77777777" w:rsidTr="006A4A29">
        <w:trPr>
          <w:trHeight w:val="607"/>
        </w:trPr>
        <w:tc>
          <w:tcPr>
            <w:tcW w:w="2086" w:type="dxa"/>
            <w:tcBorders>
              <w:top w:val="single" w:sz="4" w:space="0" w:color="000000"/>
              <w:left w:val="single" w:sz="4" w:space="0" w:color="000000"/>
              <w:bottom w:val="single" w:sz="4" w:space="0" w:color="000000"/>
              <w:right w:val="single" w:sz="4" w:space="0" w:color="000000"/>
            </w:tcBorders>
          </w:tcPr>
          <w:p w14:paraId="6D796BFE" w14:textId="77777777"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Питома вага групи у загальній кількості, відсотків</w:t>
            </w:r>
          </w:p>
        </w:tc>
        <w:tc>
          <w:tcPr>
            <w:tcW w:w="2268" w:type="dxa"/>
            <w:tcBorders>
              <w:top w:val="single" w:sz="4" w:space="0" w:color="000000"/>
              <w:left w:val="single" w:sz="4" w:space="0" w:color="000000"/>
              <w:bottom w:val="single" w:sz="4" w:space="0" w:color="000000"/>
              <w:right w:val="single" w:sz="4" w:space="0" w:color="000000"/>
            </w:tcBorders>
          </w:tcPr>
          <w:p w14:paraId="6630ED73" w14:textId="6E4C28DA" w:rsidR="006A4A29" w:rsidRPr="00216BDD" w:rsidRDefault="00216BD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w:t>
            </w:r>
          </w:p>
        </w:tc>
        <w:tc>
          <w:tcPr>
            <w:tcW w:w="1843" w:type="dxa"/>
            <w:tcBorders>
              <w:top w:val="single" w:sz="4" w:space="0" w:color="000000"/>
              <w:left w:val="single" w:sz="4" w:space="0" w:color="000000"/>
              <w:bottom w:val="single" w:sz="4" w:space="0" w:color="000000"/>
              <w:right w:val="single" w:sz="4" w:space="0" w:color="000000"/>
            </w:tcBorders>
          </w:tcPr>
          <w:p w14:paraId="7E12507B" w14:textId="11E284BA" w:rsidR="006A4A29" w:rsidRPr="00216BDD" w:rsidRDefault="006A4A29"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83</w:t>
            </w:r>
          </w:p>
        </w:tc>
        <w:tc>
          <w:tcPr>
            <w:tcW w:w="3543" w:type="dxa"/>
            <w:tcBorders>
              <w:top w:val="single" w:sz="4" w:space="0" w:color="000000"/>
              <w:left w:val="single" w:sz="4" w:space="0" w:color="000000"/>
              <w:bottom w:val="single" w:sz="4" w:space="0" w:color="000000"/>
              <w:right w:val="single" w:sz="4" w:space="0" w:color="000000"/>
            </w:tcBorders>
          </w:tcPr>
          <w:p w14:paraId="27F0F014" w14:textId="0AE85223" w:rsidR="006A4A29" w:rsidRPr="00216BDD" w:rsidRDefault="00216BD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83</w:t>
            </w:r>
            <w:r w:rsidR="006A4A29" w:rsidRPr="00216BDD">
              <w:rPr>
                <w:rFonts w:ascii="Times New Roman" w:hAnsi="Times New Roman" w:cs="Times New Roman"/>
                <w:sz w:val="28"/>
                <w:szCs w:val="28"/>
              </w:rPr>
              <w:t>%</w:t>
            </w:r>
          </w:p>
        </w:tc>
      </w:tr>
    </w:tbl>
    <w:p w14:paraId="16F7E76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tbl>
      <w:tblPr>
        <w:tblW w:w="9712" w:type="dxa"/>
        <w:tblInd w:w="-106" w:type="dxa"/>
        <w:tblLayout w:type="fixed"/>
        <w:tblLook w:val="0000" w:firstRow="0" w:lastRow="0" w:firstColumn="0" w:lastColumn="0" w:noHBand="0" w:noVBand="0"/>
      </w:tblPr>
      <w:tblGrid>
        <w:gridCol w:w="1802"/>
        <w:gridCol w:w="4962"/>
        <w:gridCol w:w="2948"/>
      </w:tblGrid>
      <w:tr w:rsidR="00D37C4D" w:rsidRPr="00216BDD" w14:paraId="142B4890" w14:textId="77777777" w:rsidTr="006B7911">
        <w:trPr>
          <w:trHeight w:val="177"/>
        </w:trPr>
        <w:tc>
          <w:tcPr>
            <w:tcW w:w="1802" w:type="dxa"/>
            <w:tcBorders>
              <w:top w:val="single" w:sz="4" w:space="0" w:color="000000"/>
              <w:left w:val="single" w:sz="4" w:space="0" w:color="000000"/>
              <w:bottom w:val="single" w:sz="4" w:space="0" w:color="000000"/>
              <w:right w:val="single" w:sz="4" w:space="0" w:color="000000"/>
            </w:tcBorders>
          </w:tcPr>
          <w:p w14:paraId="3F74EA3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Вид альтернативи</w:t>
            </w:r>
          </w:p>
        </w:tc>
        <w:tc>
          <w:tcPr>
            <w:tcW w:w="4962" w:type="dxa"/>
            <w:tcBorders>
              <w:top w:val="single" w:sz="4" w:space="0" w:color="000000"/>
              <w:left w:val="single" w:sz="4" w:space="0" w:color="000000"/>
              <w:bottom w:val="single" w:sz="4" w:space="0" w:color="000000"/>
              <w:right w:val="single" w:sz="4" w:space="0" w:color="000000"/>
            </w:tcBorders>
          </w:tcPr>
          <w:p w14:paraId="034A996D"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Вигоди</w:t>
            </w:r>
          </w:p>
        </w:tc>
        <w:tc>
          <w:tcPr>
            <w:tcW w:w="2948" w:type="dxa"/>
            <w:tcBorders>
              <w:top w:val="single" w:sz="4" w:space="0" w:color="000000"/>
              <w:left w:val="single" w:sz="4" w:space="0" w:color="000000"/>
              <w:bottom w:val="single" w:sz="4" w:space="0" w:color="000000"/>
              <w:right w:val="single" w:sz="4" w:space="0" w:color="000000"/>
            </w:tcBorders>
          </w:tcPr>
          <w:p w14:paraId="5FECA2B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Витрати</w:t>
            </w:r>
          </w:p>
        </w:tc>
      </w:tr>
      <w:tr w:rsidR="00D37C4D" w:rsidRPr="00216BDD" w14:paraId="29374D42" w14:textId="77777777" w:rsidTr="006B7911">
        <w:trPr>
          <w:trHeight w:val="225"/>
        </w:trPr>
        <w:tc>
          <w:tcPr>
            <w:tcW w:w="1802" w:type="dxa"/>
            <w:tcBorders>
              <w:top w:val="single" w:sz="4" w:space="0" w:color="000000"/>
              <w:left w:val="single" w:sz="4" w:space="0" w:color="000000"/>
              <w:bottom w:val="single" w:sz="4" w:space="0" w:color="000000"/>
              <w:right w:val="single" w:sz="4" w:space="0" w:color="000000"/>
            </w:tcBorders>
          </w:tcPr>
          <w:p w14:paraId="5B8B6D04"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Альтернатива 1</w:t>
            </w:r>
          </w:p>
        </w:tc>
        <w:tc>
          <w:tcPr>
            <w:tcW w:w="4962" w:type="dxa"/>
            <w:tcBorders>
              <w:top w:val="single" w:sz="4" w:space="0" w:color="000000"/>
              <w:left w:val="single" w:sz="4" w:space="0" w:color="000000"/>
              <w:bottom w:val="single" w:sz="4" w:space="0" w:color="000000"/>
              <w:right w:val="single" w:sz="4" w:space="0" w:color="000000"/>
            </w:tcBorders>
          </w:tcPr>
          <w:p w14:paraId="0EE20ED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Запровадження орендних ставок,  які забезпечують:</w:t>
            </w:r>
          </w:p>
          <w:p w14:paraId="1160268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стабільність господарської діяльності для підприємців;</w:t>
            </w:r>
          </w:p>
          <w:p w14:paraId="30B2A30B"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мінімізація ризиків підприємців, що пов’язане зі збільшенням орендних ставок;</w:t>
            </w:r>
          </w:p>
          <w:p w14:paraId="5025B7F5"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збереження кількості орендарів; - забезпечення прозорого механізму визначення орендної плати та передачі майна в оренду</w:t>
            </w:r>
          </w:p>
        </w:tc>
        <w:tc>
          <w:tcPr>
            <w:tcW w:w="2948" w:type="dxa"/>
            <w:tcBorders>
              <w:top w:val="single" w:sz="4" w:space="0" w:color="000000"/>
              <w:left w:val="single" w:sz="4" w:space="0" w:color="000000"/>
              <w:bottom w:val="single" w:sz="4" w:space="0" w:color="000000"/>
              <w:right w:val="single" w:sz="4" w:space="0" w:color="000000"/>
            </w:tcBorders>
          </w:tcPr>
          <w:p w14:paraId="520F1F79" w14:textId="4E69A1BA"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tc>
      </w:tr>
      <w:tr w:rsidR="00D37C4D" w:rsidRPr="00216BDD" w14:paraId="7E2531DD" w14:textId="77777777" w:rsidTr="006B7911">
        <w:trPr>
          <w:trHeight w:val="222"/>
        </w:trPr>
        <w:tc>
          <w:tcPr>
            <w:tcW w:w="1802" w:type="dxa"/>
            <w:tcBorders>
              <w:top w:val="single" w:sz="4" w:space="0" w:color="000000"/>
              <w:left w:val="single" w:sz="4" w:space="0" w:color="000000"/>
              <w:bottom w:val="single" w:sz="4" w:space="0" w:color="000000"/>
              <w:right w:val="single" w:sz="4" w:space="0" w:color="000000"/>
            </w:tcBorders>
          </w:tcPr>
          <w:p w14:paraId="499BB0D2"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Альтернатива 2</w:t>
            </w:r>
          </w:p>
        </w:tc>
        <w:tc>
          <w:tcPr>
            <w:tcW w:w="4962" w:type="dxa"/>
            <w:tcBorders>
              <w:top w:val="single" w:sz="4" w:space="0" w:color="000000"/>
              <w:left w:val="single" w:sz="4" w:space="0" w:color="000000"/>
              <w:bottom w:val="single" w:sz="4" w:space="0" w:color="000000"/>
              <w:right w:val="single" w:sz="4" w:space="0" w:color="000000"/>
            </w:tcBorders>
          </w:tcPr>
          <w:p w14:paraId="74DB4BF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Відсутні</w:t>
            </w:r>
          </w:p>
          <w:p w14:paraId="1BFD4CB9"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tc>
        <w:tc>
          <w:tcPr>
            <w:tcW w:w="2948" w:type="dxa"/>
            <w:tcBorders>
              <w:top w:val="single" w:sz="4" w:space="0" w:color="000000"/>
              <w:left w:val="single" w:sz="4" w:space="0" w:color="000000"/>
              <w:bottom w:val="single" w:sz="4" w:space="0" w:color="000000"/>
              <w:right w:val="single" w:sz="4" w:space="0" w:color="000000"/>
            </w:tcBorders>
          </w:tcPr>
          <w:p w14:paraId="5F750589" w14:textId="0B6428C9" w:rsidR="00D37C4D" w:rsidRPr="00216BDD" w:rsidRDefault="00FB1F9F"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Відсутність необхідних підзаконних актів які б деталізували </w:t>
            </w:r>
            <w:r w:rsidRPr="00216BDD">
              <w:rPr>
                <w:rFonts w:ascii="Times New Roman" w:hAnsi="Times New Roman" w:cs="Times New Roman"/>
                <w:sz w:val="28"/>
                <w:szCs w:val="28"/>
              </w:rPr>
              <w:lastRenderedPageBreak/>
              <w:t xml:space="preserve">положення </w:t>
            </w:r>
            <w:r w:rsidR="00D37C4D" w:rsidRPr="00216BDD">
              <w:rPr>
                <w:rFonts w:ascii="Times New Roman" w:hAnsi="Times New Roman" w:cs="Times New Roman"/>
                <w:sz w:val="28"/>
                <w:szCs w:val="28"/>
              </w:rPr>
              <w:t>Закон</w:t>
            </w:r>
            <w:r w:rsidRPr="00216BDD">
              <w:rPr>
                <w:rFonts w:ascii="Times New Roman" w:hAnsi="Times New Roman" w:cs="Times New Roman"/>
                <w:sz w:val="28"/>
                <w:szCs w:val="28"/>
              </w:rPr>
              <w:t>у</w:t>
            </w:r>
            <w:r w:rsidR="00D37C4D" w:rsidRPr="00216BDD">
              <w:rPr>
                <w:rFonts w:ascii="Times New Roman" w:hAnsi="Times New Roman" w:cs="Times New Roman"/>
                <w:sz w:val="28"/>
                <w:szCs w:val="28"/>
              </w:rPr>
              <w:t xml:space="preserve"> України «Про оренду державного та комунального майна» № 157-ІХ від 03.10.2019 р.</w:t>
            </w:r>
          </w:p>
          <w:p w14:paraId="276238AE" w14:textId="72FFCF2D"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Збільшення витрат міських бюджетних установ, які орендують нерухоме майно комунальної власності.</w:t>
            </w:r>
          </w:p>
        </w:tc>
      </w:tr>
    </w:tbl>
    <w:p w14:paraId="73F6F680"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645B793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Витрати на одного суб’єкта господарювання великого і середнього підприємництва, які виникають внаслідок дії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не розраховуються, оскільки дане рішення не розповсюджує свою дію на зазначену категорію суб’єктів.</w:t>
      </w:r>
    </w:p>
    <w:p w14:paraId="244648C4"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Регуляторний акт захищає інтереси як держави, так і суспільства, оскільки забезпечується ефективне використання комунального майна, прямим результатом чого є поповнення місцевого бюджету.</w:t>
      </w:r>
    </w:p>
    <w:p w14:paraId="37623E80"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IV. Вибір найбільш оптимального альтернативного способу досягнення цілей</w:t>
      </w:r>
    </w:p>
    <w:tbl>
      <w:tblPr>
        <w:tblW w:w="9316" w:type="dxa"/>
        <w:tblInd w:w="-106" w:type="dxa"/>
        <w:tblLayout w:type="fixed"/>
        <w:tblLook w:val="0000" w:firstRow="0" w:lastRow="0" w:firstColumn="0" w:lastColumn="0" w:noHBand="0" w:noVBand="0"/>
      </w:tblPr>
      <w:tblGrid>
        <w:gridCol w:w="3662"/>
        <w:gridCol w:w="3022"/>
        <w:gridCol w:w="2632"/>
      </w:tblGrid>
      <w:tr w:rsidR="00D37C4D" w:rsidRPr="00216BDD" w14:paraId="7DF51AE9" w14:textId="77777777" w:rsidTr="00AC1042">
        <w:trPr>
          <w:trHeight w:val="495"/>
        </w:trPr>
        <w:tc>
          <w:tcPr>
            <w:tcW w:w="3662" w:type="dxa"/>
            <w:tcBorders>
              <w:top w:val="single" w:sz="4" w:space="0" w:color="000000"/>
              <w:left w:val="single" w:sz="4" w:space="0" w:color="000000"/>
              <w:bottom w:val="single" w:sz="4" w:space="0" w:color="000000"/>
              <w:right w:val="single" w:sz="4" w:space="0" w:color="000000"/>
            </w:tcBorders>
          </w:tcPr>
          <w:p w14:paraId="4F049049"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Рейтинг </w:t>
            </w:r>
          </w:p>
          <w:p w14:paraId="7D202DE9"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результативності</w:t>
            </w:r>
          </w:p>
          <w:p w14:paraId="568E4B57"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(досягнення цілей під час вирішення проблеми)</w:t>
            </w:r>
          </w:p>
        </w:tc>
        <w:tc>
          <w:tcPr>
            <w:tcW w:w="3022" w:type="dxa"/>
            <w:tcBorders>
              <w:top w:val="single" w:sz="4" w:space="0" w:color="000000"/>
              <w:left w:val="single" w:sz="4" w:space="0" w:color="000000"/>
              <w:bottom w:val="single" w:sz="4" w:space="0" w:color="000000"/>
              <w:right w:val="single" w:sz="4" w:space="0" w:color="000000"/>
            </w:tcBorders>
          </w:tcPr>
          <w:p w14:paraId="2BED20A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Бал</w:t>
            </w:r>
          </w:p>
          <w:p w14:paraId="430A443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результативності</w:t>
            </w:r>
          </w:p>
          <w:p w14:paraId="7BE6D50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(за чотирибальною системою оцінки)</w:t>
            </w:r>
          </w:p>
        </w:tc>
        <w:tc>
          <w:tcPr>
            <w:tcW w:w="2632" w:type="dxa"/>
            <w:tcBorders>
              <w:top w:val="single" w:sz="4" w:space="0" w:color="000000"/>
              <w:left w:val="single" w:sz="4" w:space="0" w:color="000000"/>
              <w:bottom w:val="single" w:sz="4" w:space="0" w:color="000000"/>
              <w:right w:val="single" w:sz="4" w:space="0" w:color="000000"/>
            </w:tcBorders>
          </w:tcPr>
          <w:p w14:paraId="618672F5"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Коментарі щодо присвоєння відповідного </w:t>
            </w:r>
            <w:proofErr w:type="spellStart"/>
            <w:r w:rsidRPr="00216BDD">
              <w:rPr>
                <w:rFonts w:ascii="Times New Roman" w:hAnsi="Times New Roman" w:cs="Times New Roman"/>
                <w:sz w:val="28"/>
                <w:szCs w:val="28"/>
              </w:rPr>
              <w:t>бала</w:t>
            </w:r>
            <w:proofErr w:type="spellEnd"/>
          </w:p>
        </w:tc>
      </w:tr>
      <w:tr w:rsidR="00D37C4D" w:rsidRPr="00216BDD" w14:paraId="7EB6E6C0" w14:textId="77777777" w:rsidTr="00AC1042">
        <w:trPr>
          <w:trHeight w:val="2931"/>
        </w:trPr>
        <w:tc>
          <w:tcPr>
            <w:tcW w:w="3662" w:type="dxa"/>
            <w:tcBorders>
              <w:top w:val="single" w:sz="4" w:space="0" w:color="000000"/>
              <w:left w:val="single" w:sz="4" w:space="0" w:color="000000"/>
              <w:bottom w:val="single" w:sz="4" w:space="0" w:color="000000"/>
              <w:right w:val="single" w:sz="4" w:space="0" w:color="000000"/>
            </w:tcBorders>
          </w:tcPr>
          <w:p w14:paraId="3F164AC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Альтернатива 1</w:t>
            </w:r>
          </w:p>
        </w:tc>
        <w:tc>
          <w:tcPr>
            <w:tcW w:w="3022" w:type="dxa"/>
            <w:tcBorders>
              <w:top w:val="single" w:sz="4" w:space="0" w:color="000000"/>
              <w:left w:val="single" w:sz="4" w:space="0" w:color="000000"/>
              <w:bottom w:val="single" w:sz="4" w:space="0" w:color="000000"/>
              <w:right w:val="single" w:sz="4" w:space="0" w:color="000000"/>
            </w:tcBorders>
          </w:tcPr>
          <w:p w14:paraId="554001D2"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4 - цілі прийняття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можуть бути досягнуті майже повною мірою (усі важливі аспекти проблеми існувати не будуть).</w:t>
            </w:r>
          </w:p>
        </w:tc>
        <w:tc>
          <w:tcPr>
            <w:tcW w:w="2632" w:type="dxa"/>
            <w:tcBorders>
              <w:top w:val="single" w:sz="4" w:space="0" w:color="000000"/>
              <w:left w:val="single" w:sz="4" w:space="0" w:color="000000"/>
              <w:bottom w:val="single" w:sz="4" w:space="0" w:color="000000"/>
              <w:right w:val="single" w:sz="4" w:space="0" w:color="000000"/>
            </w:tcBorders>
          </w:tcPr>
          <w:p w14:paraId="1392B859"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У разі прийняття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задекларовані цілі забезпечать повною мірою досягнення поставленої мети у сфері орендних відносин. Альтернатива є </w:t>
            </w:r>
            <w:r w:rsidRPr="00216BDD">
              <w:rPr>
                <w:rFonts w:ascii="Times New Roman" w:hAnsi="Times New Roman" w:cs="Times New Roman"/>
                <w:sz w:val="28"/>
                <w:szCs w:val="28"/>
              </w:rPr>
              <w:lastRenderedPageBreak/>
              <w:t>найбільш оптимальною.</w:t>
            </w:r>
          </w:p>
        </w:tc>
      </w:tr>
      <w:tr w:rsidR="00D37C4D" w:rsidRPr="00216BDD" w14:paraId="2E8E4578" w14:textId="77777777" w:rsidTr="00AC1042">
        <w:trPr>
          <w:trHeight w:val="237"/>
        </w:trPr>
        <w:tc>
          <w:tcPr>
            <w:tcW w:w="3662" w:type="dxa"/>
            <w:tcBorders>
              <w:top w:val="single" w:sz="4" w:space="0" w:color="000000"/>
              <w:left w:val="single" w:sz="4" w:space="0" w:color="000000"/>
              <w:bottom w:val="single" w:sz="4" w:space="0" w:color="000000"/>
              <w:right w:val="single" w:sz="4" w:space="0" w:color="000000"/>
            </w:tcBorders>
          </w:tcPr>
          <w:p w14:paraId="49BF4B5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lastRenderedPageBreak/>
              <w:t>Альтернатива 2</w:t>
            </w:r>
          </w:p>
        </w:tc>
        <w:tc>
          <w:tcPr>
            <w:tcW w:w="3022" w:type="dxa"/>
            <w:tcBorders>
              <w:top w:val="single" w:sz="4" w:space="0" w:color="000000"/>
              <w:left w:val="single" w:sz="4" w:space="0" w:color="000000"/>
              <w:bottom w:val="single" w:sz="4" w:space="0" w:color="000000"/>
              <w:right w:val="single" w:sz="4" w:space="0" w:color="000000"/>
            </w:tcBorders>
          </w:tcPr>
          <w:p w14:paraId="4AB9F82F"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1 - цілі неприйняття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не можуть бути досягнуті (проблема продовжує існувати)</w:t>
            </w:r>
          </w:p>
          <w:p w14:paraId="5B730A0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tc>
        <w:tc>
          <w:tcPr>
            <w:tcW w:w="2632" w:type="dxa"/>
            <w:tcBorders>
              <w:top w:val="single" w:sz="4" w:space="0" w:color="000000"/>
              <w:left w:val="single" w:sz="4" w:space="0" w:color="000000"/>
              <w:bottom w:val="single" w:sz="4" w:space="0" w:color="000000"/>
              <w:right w:val="single" w:sz="4" w:space="0" w:color="000000"/>
            </w:tcBorders>
          </w:tcPr>
          <w:p w14:paraId="6754780C"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При застосуванні даної альтернативи не буде врахована як специфіка діяльності комунальних підприємств громади та інших організацій і закладів, що фінансуються з місцевого бюджету, так і існуючий попит на об’єкти комунальної власності, на послуги та товари, які надаються суб’єктами підприємницької діяльності.</w:t>
            </w:r>
          </w:p>
        </w:tc>
      </w:tr>
    </w:tbl>
    <w:p w14:paraId="230BCFA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172A2950"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tbl>
      <w:tblPr>
        <w:tblW w:w="9522" w:type="dxa"/>
        <w:tblInd w:w="-106" w:type="dxa"/>
        <w:tblLayout w:type="fixed"/>
        <w:tblLook w:val="0000" w:firstRow="0" w:lastRow="0" w:firstColumn="0" w:lastColumn="0" w:noHBand="0" w:noVBand="0"/>
      </w:tblPr>
      <w:tblGrid>
        <w:gridCol w:w="2470"/>
        <w:gridCol w:w="2692"/>
        <w:gridCol w:w="2452"/>
        <w:gridCol w:w="1908"/>
      </w:tblGrid>
      <w:tr w:rsidR="00D37C4D" w:rsidRPr="00216BDD" w14:paraId="223A75B2" w14:textId="77777777" w:rsidTr="00577339">
        <w:trPr>
          <w:trHeight w:val="237"/>
        </w:trPr>
        <w:tc>
          <w:tcPr>
            <w:tcW w:w="2470" w:type="dxa"/>
            <w:tcBorders>
              <w:top w:val="single" w:sz="4" w:space="0" w:color="000000"/>
              <w:left w:val="single" w:sz="4" w:space="0" w:color="000000"/>
              <w:bottom w:val="single" w:sz="4" w:space="0" w:color="000000"/>
              <w:right w:val="single" w:sz="4" w:space="0" w:color="000000"/>
            </w:tcBorders>
          </w:tcPr>
          <w:p w14:paraId="477FAE44"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Рейтинг результативності</w:t>
            </w:r>
          </w:p>
        </w:tc>
        <w:tc>
          <w:tcPr>
            <w:tcW w:w="2692" w:type="dxa"/>
            <w:tcBorders>
              <w:top w:val="single" w:sz="4" w:space="0" w:color="000000"/>
              <w:left w:val="single" w:sz="4" w:space="0" w:color="000000"/>
              <w:bottom w:val="single" w:sz="4" w:space="0" w:color="000000"/>
              <w:right w:val="single" w:sz="4" w:space="0" w:color="000000"/>
            </w:tcBorders>
          </w:tcPr>
          <w:p w14:paraId="084D362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Вигоди</w:t>
            </w:r>
          </w:p>
          <w:p w14:paraId="1522582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(підсумок)</w:t>
            </w:r>
          </w:p>
        </w:tc>
        <w:tc>
          <w:tcPr>
            <w:tcW w:w="2452" w:type="dxa"/>
            <w:tcBorders>
              <w:top w:val="single" w:sz="4" w:space="0" w:color="000000"/>
              <w:left w:val="single" w:sz="4" w:space="0" w:color="000000"/>
              <w:bottom w:val="single" w:sz="4" w:space="0" w:color="000000"/>
              <w:right w:val="single" w:sz="4" w:space="0" w:color="000000"/>
            </w:tcBorders>
          </w:tcPr>
          <w:p w14:paraId="619C5A35"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Витрати</w:t>
            </w:r>
          </w:p>
          <w:p w14:paraId="463D8A2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(підсумок)</w:t>
            </w:r>
          </w:p>
        </w:tc>
        <w:tc>
          <w:tcPr>
            <w:tcW w:w="1908" w:type="dxa"/>
            <w:tcBorders>
              <w:top w:val="single" w:sz="4" w:space="0" w:color="000000"/>
              <w:left w:val="single" w:sz="4" w:space="0" w:color="000000"/>
              <w:bottom w:val="single" w:sz="4" w:space="0" w:color="000000"/>
              <w:right w:val="single" w:sz="4" w:space="0" w:color="000000"/>
            </w:tcBorders>
          </w:tcPr>
          <w:p w14:paraId="41E8FCE3"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Обґрунтування відповідного </w:t>
            </w:r>
            <w:r w:rsidRPr="00216BDD">
              <w:rPr>
                <w:rFonts w:ascii="Times New Roman" w:hAnsi="Times New Roman" w:cs="Times New Roman"/>
                <w:sz w:val="28"/>
                <w:szCs w:val="28"/>
              </w:rPr>
              <w:lastRenderedPageBreak/>
              <w:t>місця альтернативи у рейтингу</w:t>
            </w:r>
          </w:p>
        </w:tc>
      </w:tr>
      <w:tr w:rsidR="00D37C4D" w:rsidRPr="00216BDD" w14:paraId="4CE28A7F" w14:textId="77777777" w:rsidTr="00577339">
        <w:trPr>
          <w:trHeight w:val="240"/>
        </w:trPr>
        <w:tc>
          <w:tcPr>
            <w:tcW w:w="2470" w:type="dxa"/>
            <w:tcBorders>
              <w:top w:val="single" w:sz="4" w:space="0" w:color="000000"/>
              <w:left w:val="single" w:sz="4" w:space="0" w:color="000000"/>
              <w:bottom w:val="single" w:sz="4" w:space="0" w:color="000000"/>
              <w:right w:val="single" w:sz="4" w:space="0" w:color="000000"/>
            </w:tcBorders>
          </w:tcPr>
          <w:p w14:paraId="37C1F05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lastRenderedPageBreak/>
              <w:t>Альтернатива 1</w:t>
            </w:r>
          </w:p>
        </w:tc>
        <w:tc>
          <w:tcPr>
            <w:tcW w:w="2692" w:type="dxa"/>
            <w:tcBorders>
              <w:top w:val="single" w:sz="4" w:space="0" w:color="000000"/>
              <w:left w:val="single" w:sz="4" w:space="0" w:color="000000"/>
              <w:bottom w:val="single" w:sz="4" w:space="0" w:color="000000"/>
              <w:right w:val="single" w:sz="4" w:space="0" w:color="000000"/>
            </w:tcBorders>
          </w:tcPr>
          <w:p w14:paraId="262E7980"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забезпечено баланс інтересів держави, громадян та суб’єктів господарювання</w:t>
            </w:r>
          </w:p>
          <w:p w14:paraId="5FF7DDF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виконання вимог чинного законодавства з питань оренди комунального майна;</w:t>
            </w:r>
          </w:p>
          <w:p w14:paraId="430A5A77"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 збереження забезпечення надходжень до місцевого бюджету коштів від оренди комунального майна;</w:t>
            </w:r>
          </w:p>
          <w:p w14:paraId="7F3D60F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 збереження комунального майна;</w:t>
            </w:r>
          </w:p>
          <w:p w14:paraId="70BEE15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вирішення соціальних питань громади;</w:t>
            </w:r>
          </w:p>
          <w:p w14:paraId="65D7A430"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дотримання прав фізичних та юридичних осіб - </w:t>
            </w:r>
            <w:r w:rsidRPr="00216BDD">
              <w:rPr>
                <w:rFonts w:ascii="Times New Roman" w:hAnsi="Times New Roman" w:cs="Times New Roman"/>
                <w:sz w:val="28"/>
                <w:szCs w:val="28"/>
              </w:rPr>
              <w:lastRenderedPageBreak/>
              <w:t>потенційних орендарів, передбачених законодавством, у разі продовження договірних відносин;</w:t>
            </w:r>
          </w:p>
          <w:p w14:paraId="1CC2C0B2"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збереження орендних ставок для орендарів, які підпадають під регулювання.</w:t>
            </w:r>
          </w:p>
        </w:tc>
        <w:tc>
          <w:tcPr>
            <w:tcW w:w="2452" w:type="dxa"/>
            <w:tcBorders>
              <w:top w:val="single" w:sz="4" w:space="0" w:color="000000"/>
              <w:left w:val="single" w:sz="4" w:space="0" w:color="000000"/>
              <w:bottom w:val="single" w:sz="4" w:space="0" w:color="000000"/>
              <w:right w:val="single" w:sz="4" w:space="0" w:color="000000"/>
            </w:tcBorders>
          </w:tcPr>
          <w:p w14:paraId="76673EC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lastRenderedPageBreak/>
              <w:t>Не передбачається</w:t>
            </w:r>
          </w:p>
        </w:tc>
        <w:tc>
          <w:tcPr>
            <w:tcW w:w="1908" w:type="dxa"/>
            <w:tcBorders>
              <w:top w:val="single" w:sz="4" w:space="0" w:color="000000"/>
              <w:left w:val="single" w:sz="4" w:space="0" w:color="000000"/>
              <w:bottom w:val="single" w:sz="4" w:space="0" w:color="000000"/>
              <w:right w:val="single" w:sz="4" w:space="0" w:color="000000"/>
            </w:tcBorders>
          </w:tcPr>
          <w:p w14:paraId="71E081D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Розробка </w:t>
            </w:r>
            <w:proofErr w:type="spellStart"/>
            <w:r w:rsidRPr="00216BDD">
              <w:rPr>
                <w:rFonts w:ascii="Times New Roman" w:hAnsi="Times New Roman" w:cs="Times New Roman"/>
                <w:sz w:val="28"/>
                <w:szCs w:val="28"/>
              </w:rPr>
              <w:t>проєкту</w:t>
            </w:r>
            <w:proofErr w:type="spellEnd"/>
            <w:r w:rsidRPr="00216BDD">
              <w:rPr>
                <w:rFonts w:ascii="Times New Roman" w:hAnsi="Times New Roman" w:cs="Times New Roman"/>
                <w:sz w:val="28"/>
                <w:szCs w:val="28"/>
              </w:rPr>
              <w:t xml:space="preserve"> рішення є єдиним оптимальним способом у досягненні визначених цілей, оскільки такий спосіб дозволить належним чином дотриматись вимог законодавства у сфері оренди.</w:t>
            </w:r>
          </w:p>
        </w:tc>
      </w:tr>
      <w:tr w:rsidR="00D37C4D" w:rsidRPr="00216BDD" w14:paraId="74634C2E" w14:textId="77777777" w:rsidTr="00577339">
        <w:trPr>
          <w:trHeight w:val="240"/>
        </w:trPr>
        <w:tc>
          <w:tcPr>
            <w:tcW w:w="2470" w:type="dxa"/>
            <w:tcBorders>
              <w:top w:val="single" w:sz="4" w:space="0" w:color="000000"/>
              <w:left w:val="single" w:sz="4" w:space="0" w:color="000000"/>
              <w:bottom w:val="single" w:sz="4" w:space="0" w:color="000000"/>
              <w:right w:val="single" w:sz="4" w:space="0" w:color="000000"/>
            </w:tcBorders>
          </w:tcPr>
          <w:p w14:paraId="29E7FF2F"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Альтернатива 2</w:t>
            </w:r>
          </w:p>
        </w:tc>
        <w:tc>
          <w:tcPr>
            <w:tcW w:w="2692" w:type="dxa"/>
            <w:tcBorders>
              <w:top w:val="single" w:sz="4" w:space="0" w:color="000000"/>
              <w:left w:val="single" w:sz="4" w:space="0" w:color="000000"/>
              <w:bottom w:val="single" w:sz="4" w:space="0" w:color="000000"/>
              <w:right w:val="single" w:sz="4" w:space="0" w:color="000000"/>
            </w:tcBorders>
          </w:tcPr>
          <w:p w14:paraId="443567C5"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Не передбачаються, оскільки державна методика не врегулює питання, які виникають в ході орендних відносин, як з суб’єктами господарювання, так і органами державної влади та іншими установами, що орендують комунальне майно без проведення аукціонів.</w:t>
            </w:r>
          </w:p>
        </w:tc>
        <w:tc>
          <w:tcPr>
            <w:tcW w:w="2452" w:type="dxa"/>
            <w:tcBorders>
              <w:top w:val="single" w:sz="4" w:space="0" w:color="000000"/>
              <w:left w:val="single" w:sz="4" w:space="0" w:color="000000"/>
              <w:bottom w:val="single" w:sz="4" w:space="0" w:color="000000"/>
              <w:right w:val="single" w:sz="4" w:space="0" w:color="000000"/>
            </w:tcBorders>
          </w:tcPr>
          <w:p w14:paraId="4FDAC529"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Відсутність пільгової орендної плати для міських бюджетних установ, що збільшить навантаження в зв’язку з їх утримання через такі витрати, зокрема витрати на оцінку майна (в середньому 1000-2000 грн на 1 об’єкт, а також сплати орендної плати із застосуванням державної ставки 3% від ринково вартості майна, що орієнтовно </w:t>
            </w:r>
            <w:r w:rsidRPr="00216BDD">
              <w:rPr>
                <w:rFonts w:ascii="Times New Roman" w:hAnsi="Times New Roman" w:cs="Times New Roman"/>
                <w:sz w:val="28"/>
                <w:szCs w:val="28"/>
              </w:rPr>
              <w:lastRenderedPageBreak/>
              <w:t>складає 1000 грн на місяць, 12000 грн на рік). Зменшення кількості орендарів, у разі не збереження права на продовження договорів на тих же умовах при першій пролонгації</w:t>
            </w:r>
          </w:p>
        </w:tc>
        <w:tc>
          <w:tcPr>
            <w:tcW w:w="1908" w:type="dxa"/>
            <w:tcBorders>
              <w:top w:val="single" w:sz="4" w:space="0" w:color="000000"/>
              <w:left w:val="single" w:sz="4" w:space="0" w:color="000000"/>
              <w:bottom w:val="single" w:sz="4" w:space="0" w:color="000000"/>
              <w:right w:val="single" w:sz="4" w:space="0" w:color="000000"/>
            </w:tcBorders>
          </w:tcPr>
          <w:p w14:paraId="16CA9282"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lastRenderedPageBreak/>
              <w:t>Не може бути застосований, оскільки державна методика, не вирішує проблему, визначену цим аналізом регуляторного впливу</w:t>
            </w:r>
          </w:p>
        </w:tc>
      </w:tr>
    </w:tbl>
    <w:p w14:paraId="206E817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tbl>
      <w:tblPr>
        <w:tblW w:w="9195" w:type="dxa"/>
        <w:tblInd w:w="3" w:type="dxa"/>
        <w:tblLayout w:type="fixed"/>
        <w:tblLook w:val="0000" w:firstRow="0" w:lastRow="0" w:firstColumn="0" w:lastColumn="0" w:noHBand="0" w:noVBand="0"/>
      </w:tblPr>
      <w:tblGrid>
        <w:gridCol w:w="2304"/>
        <w:gridCol w:w="3827"/>
        <w:gridCol w:w="3064"/>
      </w:tblGrid>
      <w:tr w:rsidR="00D37C4D" w:rsidRPr="00216BDD" w14:paraId="1B6EA8B9" w14:textId="77777777" w:rsidTr="00AC1042">
        <w:trPr>
          <w:trHeight w:val="315"/>
        </w:trPr>
        <w:tc>
          <w:tcPr>
            <w:tcW w:w="2304" w:type="dxa"/>
            <w:tcBorders>
              <w:top w:val="single" w:sz="4" w:space="0" w:color="000000"/>
              <w:left w:val="single" w:sz="4" w:space="0" w:color="000000"/>
              <w:bottom w:val="single" w:sz="4" w:space="0" w:color="000000"/>
              <w:right w:val="single" w:sz="4" w:space="0" w:color="000000"/>
            </w:tcBorders>
          </w:tcPr>
          <w:p w14:paraId="4A6881ED"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264D2B94"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Рейтинг</w:t>
            </w:r>
          </w:p>
        </w:tc>
        <w:tc>
          <w:tcPr>
            <w:tcW w:w="3827" w:type="dxa"/>
            <w:tcBorders>
              <w:top w:val="single" w:sz="4" w:space="0" w:color="000000"/>
              <w:left w:val="single" w:sz="4" w:space="0" w:color="000000"/>
              <w:bottom w:val="single" w:sz="4" w:space="0" w:color="000000"/>
              <w:right w:val="single" w:sz="4" w:space="0" w:color="000000"/>
            </w:tcBorders>
          </w:tcPr>
          <w:p w14:paraId="798D955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Аргументи щодо переваги обраної альтернативи/причини відмови від альтернативи</w:t>
            </w:r>
          </w:p>
        </w:tc>
        <w:tc>
          <w:tcPr>
            <w:tcW w:w="3064" w:type="dxa"/>
            <w:tcBorders>
              <w:top w:val="single" w:sz="4" w:space="0" w:color="000000"/>
              <w:left w:val="single" w:sz="4" w:space="0" w:color="000000"/>
              <w:bottom w:val="single" w:sz="4" w:space="0" w:color="000000"/>
              <w:right w:val="single" w:sz="4" w:space="0" w:color="000000"/>
            </w:tcBorders>
          </w:tcPr>
          <w:p w14:paraId="47A837B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Оцінка ризику зовнішніх чинників на дію запропонованого регуляторного </w:t>
            </w:r>
            <w:proofErr w:type="spellStart"/>
            <w:r w:rsidRPr="00216BDD">
              <w:rPr>
                <w:rFonts w:ascii="Times New Roman" w:hAnsi="Times New Roman" w:cs="Times New Roman"/>
                <w:sz w:val="28"/>
                <w:szCs w:val="28"/>
              </w:rPr>
              <w:t>акта</w:t>
            </w:r>
            <w:proofErr w:type="spellEnd"/>
          </w:p>
        </w:tc>
      </w:tr>
      <w:tr w:rsidR="00D37C4D" w:rsidRPr="00216BDD" w14:paraId="1FEB79BB" w14:textId="77777777" w:rsidTr="00AC1042">
        <w:trPr>
          <w:trHeight w:val="345"/>
        </w:trPr>
        <w:tc>
          <w:tcPr>
            <w:tcW w:w="2304" w:type="dxa"/>
            <w:tcBorders>
              <w:top w:val="single" w:sz="4" w:space="0" w:color="000000"/>
              <w:left w:val="single" w:sz="4" w:space="0" w:color="000000"/>
              <w:bottom w:val="single" w:sz="4" w:space="0" w:color="000000"/>
              <w:right w:val="single" w:sz="4" w:space="0" w:color="000000"/>
            </w:tcBorders>
          </w:tcPr>
          <w:p w14:paraId="7F4B85FD"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Альтернатива 1</w:t>
            </w:r>
          </w:p>
        </w:tc>
        <w:tc>
          <w:tcPr>
            <w:tcW w:w="3827" w:type="dxa"/>
            <w:tcBorders>
              <w:top w:val="single" w:sz="4" w:space="0" w:color="000000"/>
              <w:left w:val="single" w:sz="4" w:space="0" w:color="000000"/>
              <w:bottom w:val="single" w:sz="4" w:space="0" w:color="000000"/>
              <w:right w:val="single" w:sz="4" w:space="0" w:color="000000"/>
            </w:tcBorders>
          </w:tcPr>
          <w:p w14:paraId="0F603160"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Розроблення та прийняття </w:t>
            </w:r>
            <w:proofErr w:type="spellStart"/>
            <w:r w:rsidRPr="00216BDD">
              <w:rPr>
                <w:rFonts w:ascii="Times New Roman" w:hAnsi="Times New Roman" w:cs="Times New Roman"/>
                <w:sz w:val="28"/>
                <w:szCs w:val="28"/>
              </w:rPr>
              <w:t>проєкту</w:t>
            </w:r>
            <w:proofErr w:type="spellEnd"/>
            <w:r w:rsidRPr="00216BDD">
              <w:rPr>
                <w:rFonts w:ascii="Times New Roman" w:hAnsi="Times New Roman" w:cs="Times New Roman"/>
                <w:sz w:val="28"/>
                <w:szCs w:val="28"/>
              </w:rPr>
              <w:t xml:space="preserve"> рішення є єдиним оптимальним способом у досягненні визначених цілей, оскільки такий спосіб дозволить забезпечити дотримання передбачених законодавством вимог щодо оренди майна та врахувати місцеві особливості у сфері оренди комунального майна</w:t>
            </w:r>
          </w:p>
        </w:tc>
        <w:tc>
          <w:tcPr>
            <w:tcW w:w="3064" w:type="dxa"/>
            <w:tcBorders>
              <w:top w:val="single" w:sz="4" w:space="0" w:color="000000"/>
              <w:left w:val="single" w:sz="4" w:space="0" w:color="000000"/>
              <w:bottom w:val="single" w:sz="4" w:space="0" w:color="000000"/>
              <w:right w:val="single" w:sz="4" w:space="0" w:color="000000"/>
            </w:tcBorders>
          </w:tcPr>
          <w:p w14:paraId="7852EA17"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Оцінка можливостей запровадження рішення та дотримання суб’єктами господарювання його положень – висока, оскільки запровадження такого регуляторного акту забезпечить високу вірогідність досягнення поставлених цілей.</w:t>
            </w:r>
          </w:p>
        </w:tc>
      </w:tr>
      <w:tr w:rsidR="00D37C4D" w:rsidRPr="00216BDD" w14:paraId="762E0CE7" w14:textId="77777777" w:rsidTr="00AC1042">
        <w:trPr>
          <w:trHeight w:val="255"/>
        </w:trPr>
        <w:tc>
          <w:tcPr>
            <w:tcW w:w="2304" w:type="dxa"/>
            <w:tcBorders>
              <w:top w:val="single" w:sz="4" w:space="0" w:color="000000"/>
              <w:left w:val="single" w:sz="4" w:space="0" w:color="000000"/>
              <w:bottom w:val="single" w:sz="4" w:space="0" w:color="000000"/>
              <w:right w:val="single" w:sz="4" w:space="0" w:color="000000"/>
            </w:tcBorders>
          </w:tcPr>
          <w:p w14:paraId="27A9BAB3"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Альтернатива 2</w:t>
            </w:r>
          </w:p>
        </w:tc>
        <w:tc>
          <w:tcPr>
            <w:tcW w:w="3827" w:type="dxa"/>
            <w:tcBorders>
              <w:top w:val="single" w:sz="4" w:space="0" w:color="000000"/>
              <w:left w:val="single" w:sz="4" w:space="0" w:color="000000"/>
              <w:bottom w:val="single" w:sz="4" w:space="0" w:color="000000"/>
              <w:right w:val="single" w:sz="4" w:space="0" w:color="000000"/>
            </w:tcBorders>
          </w:tcPr>
          <w:p w14:paraId="356C2E9C"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Не може бути застосований, оскільки застосування державної методики не вирішує </w:t>
            </w:r>
            <w:r w:rsidRPr="00216BDD">
              <w:rPr>
                <w:rFonts w:ascii="Times New Roman" w:hAnsi="Times New Roman" w:cs="Times New Roman"/>
                <w:sz w:val="28"/>
                <w:szCs w:val="28"/>
              </w:rPr>
              <w:lastRenderedPageBreak/>
              <w:t>поставлених завдань у сфері оренди комунального майна</w:t>
            </w:r>
          </w:p>
        </w:tc>
        <w:tc>
          <w:tcPr>
            <w:tcW w:w="3064" w:type="dxa"/>
            <w:tcBorders>
              <w:top w:val="single" w:sz="4" w:space="0" w:color="000000"/>
              <w:left w:val="single" w:sz="4" w:space="0" w:color="000000"/>
              <w:bottom w:val="single" w:sz="4" w:space="0" w:color="000000"/>
              <w:right w:val="single" w:sz="4" w:space="0" w:color="000000"/>
            </w:tcBorders>
          </w:tcPr>
          <w:p w14:paraId="1244D863"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lastRenderedPageBreak/>
              <w:t>Х</w:t>
            </w:r>
          </w:p>
        </w:tc>
      </w:tr>
    </w:tbl>
    <w:p w14:paraId="5FB1E9EF"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476864F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V. Механізми та заходи, які забезпечать розв’язання визначеної проблеми</w:t>
      </w:r>
    </w:p>
    <w:p w14:paraId="0AF559B4"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Запропоновані механізми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за допомогою яких можна розв’язати проблему:</w:t>
      </w:r>
    </w:p>
    <w:p w14:paraId="017F144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Механізм дії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w:t>
      </w:r>
    </w:p>
    <w:p w14:paraId="033A9383"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Запропонований </w:t>
      </w:r>
      <w:proofErr w:type="spellStart"/>
      <w:r w:rsidRPr="00216BDD">
        <w:rPr>
          <w:rFonts w:ascii="Times New Roman" w:hAnsi="Times New Roman" w:cs="Times New Roman"/>
          <w:sz w:val="28"/>
          <w:szCs w:val="28"/>
        </w:rPr>
        <w:t>проєкт</w:t>
      </w:r>
      <w:proofErr w:type="spellEnd"/>
      <w:r w:rsidRPr="00216BDD">
        <w:rPr>
          <w:rFonts w:ascii="Times New Roman" w:hAnsi="Times New Roman" w:cs="Times New Roman"/>
          <w:sz w:val="28"/>
          <w:szCs w:val="28"/>
        </w:rPr>
        <w:t xml:space="preserve"> рішення: </w:t>
      </w:r>
    </w:p>
    <w:p w14:paraId="7939AB4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передбачає механізм розрахунку орендної плати з урахуванням незалежної оцінки майна та відповідної орендної ставки; </w:t>
      </w:r>
    </w:p>
    <w:p w14:paraId="346CD25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забезпечує гарантоване право на оренду для пільгової категорії орендарів відповідно до ст. 15 Закону; </w:t>
      </w:r>
    </w:p>
    <w:p w14:paraId="4DCD40F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гарантує територіальній громаді збереження комунального майна та його ефективне використання. </w:t>
      </w:r>
    </w:p>
    <w:p w14:paraId="5642583D"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Відповідно до Закону передача державного та комунального майна в оренду відбувається на аукціоні. При цьому статтею 15 Закону передбачені виключення з цього загального принципу - певні категорії орендарів мають право на укладення договору оренди без аукціону. Як наслідок, розмір орендної плати формується не на основі ринкового попиту, а відповідно до методики. </w:t>
      </w:r>
      <w:proofErr w:type="spellStart"/>
      <w:r w:rsidRPr="00216BDD">
        <w:rPr>
          <w:rFonts w:ascii="Times New Roman" w:hAnsi="Times New Roman" w:cs="Times New Roman"/>
          <w:sz w:val="28"/>
          <w:szCs w:val="28"/>
        </w:rPr>
        <w:t>Проєктом</w:t>
      </w:r>
      <w:proofErr w:type="spellEnd"/>
      <w:r w:rsidRPr="00216BDD">
        <w:rPr>
          <w:rFonts w:ascii="Times New Roman" w:hAnsi="Times New Roman" w:cs="Times New Roman"/>
          <w:sz w:val="28"/>
          <w:szCs w:val="28"/>
        </w:rPr>
        <w:t xml:space="preserve"> рішення пропонується Методика розрахунку орендної плати на основі незалежної оцінки та розміру орендної ставки (в залежності від мети використання/орендаря), при цьому бюджетним установам, які повністю фінансуються за рахунок державного бюджету, а також іншим установам, організаціям, закладам, що фінансуються з місцевого бюджету буде встановлено річну орендну плату 1 грн/рік. Також іншим орендарям, які мають відповідно до ст. 15 Закону право оренди без аукціону і які не утримуються/фінансуються з державного або місцевого бюджету, будуть встановлені диференційовані орендні ставки. </w:t>
      </w:r>
      <w:proofErr w:type="spellStart"/>
      <w:r w:rsidRPr="00216BDD">
        <w:rPr>
          <w:rFonts w:ascii="Times New Roman" w:hAnsi="Times New Roman" w:cs="Times New Roman"/>
          <w:sz w:val="28"/>
          <w:szCs w:val="28"/>
        </w:rPr>
        <w:t>Проєктом</w:t>
      </w:r>
      <w:proofErr w:type="spellEnd"/>
      <w:r w:rsidRPr="00216BDD">
        <w:rPr>
          <w:rFonts w:ascii="Times New Roman" w:hAnsi="Times New Roman" w:cs="Times New Roman"/>
          <w:sz w:val="28"/>
          <w:szCs w:val="28"/>
        </w:rPr>
        <w:t xml:space="preserve">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також передбачається врегулювати порядок індексації орендної плати. </w:t>
      </w:r>
    </w:p>
    <w:p w14:paraId="3B2596BF" w14:textId="3FDD6928" w:rsidR="006B7911" w:rsidRPr="00216BDD" w:rsidRDefault="006B7911"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Чинну Методика розрахунку орендної плати за майно Люблинецької селищної територіальної громади, яке передається в оренду, затверджену рішенням Люблинецької селищної ради від 15 березня 2007 року № 8/4 «Про окремі питання управління майном спільної власності територіальної громади селищної ради», буде визнано такою, що втратила чинність.</w:t>
      </w:r>
    </w:p>
    <w:p w14:paraId="4A3FF673"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Організаційні заходи впровадження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в дію.</w:t>
      </w:r>
    </w:p>
    <w:p w14:paraId="12DE6EE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Проведення консультацій з суб’єктами господарювання. </w:t>
      </w:r>
    </w:p>
    <w:p w14:paraId="7A512E37"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Розробка </w:t>
      </w:r>
      <w:proofErr w:type="spellStart"/>
      <w:r w:rsidRPr="00216BDD">
        <w:rPr>
          <w:rFonts w:ascii="Times New Roman" w:hAnsi="Times New Roman" w:cs="Times New Roman"/>
          <w:sz w:val="28"/>
          <w:szCs w:val="28"/>
        </w:rPr>
        <w:t>проєкту</w:t>
      </w:r>
      <w:proofErr w:type="spellEnd"/>
      <w:r w:rsidRPr="00216BDD">
        <w:rPr>
          <w:rFonts w:ascii="Times New Roman" w:hAnsi="Times New Roman" w:cs="Times New Roman"/>
          <w:sz w:val="28"/>
          <w:szCs w:val="28"/>
        </w:rPr>
        <w:t xml:space="preserve"> рішення та АРВ до нього. </w:t>
      </w:r>
    </w:p>
    <w:p w14:paraId="1766EAD2"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Оприлюднення </w:t>
      </w:r>
      <w:proofErr w:type="spellStart"/>
      <w:r w:rsidRPr="00216BDD">
        <w:rPr>
          <w:rFonts w:ascii="Times New Roman" w:hAnsi="Times New Roman" w:cs="Times New Roman"/>
          <w:sz w:val="28"/>
          <w:szCs w:val="28"/>
        </w:rPr>
        <w:t>про’єкту</w:t>
      </w:r>
      <w:proofErr w:type="spellEnd"/>
      <w:r w:rsidRPr="00216BDD">
        <w:rPr>
          <w:rFonts w:ascii="Times New Roman" w:hAnsi="Times New Roman" w:cs="Times New Roman"/>
          <w:sz w:val="28"/>
          <w:szCs w:val="28"/>
        </w:rPr>
        <w:t xml:space="preserve"> разом з АРВ та отримання пропозицій і зауважень. </w:t>
      </w:r>
    </w:p>
    <w:p w14:paraId="79A6042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lastRenderedPageBreak/>
        <w:t xml:space="preserve">Підготовка експертного висновку постійної відповідальної комісії щодо відповідності </w:t>
      </w:r>
      <w:proofErr w:type="spellStart"/>
      <w:r w:rsidRPr="00216BDD">
        <w:rPr>
          <w:rFonts w:ascii="Times New Roman" w:hAnsi="Times New Roman" w:cs="Times New Roman"/>
          <w:sz w:val="28"/>
          <w:szCs w:val="28"/>
        </w:rPr>
        <w:t>проєкту</w:t>
      </w:r>
      <w:proofErr w:type="spellEnd"/>
      <w:r w:rsidRPr="00216BDD">
        <w:rPr>
          <w:rFonts w:ascii="Times New Roman" w:hAnsi="Times New Roman" w:cs="Times New Roman"/>
          <w:sz w:val="28"/>
          <w:szCs w:val="28"/>
        </w:rPr>
        <w:t xml:space="preserve"> рішення вимогам статей 4, 8 Закону України “Про засади державної регуляторної політики у сфері господарської діяльності”. </w:t>
      </w:r>
    </w:p>
    <w:p w14:paraId="70FB62F3"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Отримання пропозицій щодо удосконалення </w:t>
      </w:r>
      <w:proofErr w:type="spellStart"/>
      <w:r w:rsidRPr="00216BDD">
        <w:rPr>
          <w:rFonts w:ascii="Times New Roman" w:hAnsi="Times New Roman" w:cs="Times New Roman"/>
          <w:sz w:val="28"/>
          <w:szCs w:val="28"/>
        </w:rPr>
        <w:t>проєкту</w:t>
      </w:r>
      <w:proofErr w:type="spellEnd"/>
      <w:r w:rsidRPr="00216BDD">
        <w:rPr>
          <w:rFonts w:ascii="Times New Roman" w:hAnsi="Times New Roman" w:cs="Times New Roman"/>
          <w:sz w:val="28"/>
          <w:szCs w:val="28"/>
        </w:rPr>
        <w:t xml:space="preserve"> рішення від Державної регуляторної служби України. </w:t>
      </w:r>
    </w:p>
    <w:p w14:paraId="7710096C" w14:textId="67791E99"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Прийняття рішення на пленарному засіданні сесії </w:t>
      </w:r>
      <w:r w:rsidR="006B7911" w:rsidRPr="00216BDD">
        <w:rPr>
          <w:rFonts w:ascii="Times New Roman" w:hAnsi="Times New Roman" w:cs="Times New Roman"/>
          <w:sz w:val="28"/>
          <w:szCs w:val="28"/>
        </w:rPr>
        <w:t>селищн</w:t>
      </w:r>
      <w:r w:rsidRPr="00216BDD">
        <w:rPr>
          <w:rFonts w:ascii="Times New Roman" w:hAnsi="Times New Roman" w:cs="Times New Roman"/>
          <w:sz w:val="28"/>
          <w:szCs w:val="28"/>
        </w:rPr>
        <w:t xml:space="preserve">ої ради. </w:t>
      </w:r>
    </w:p>
    <w:p w14:paraId="3D466BE5"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Оприлюднення рішення у встановленому законодавством порядку. </w:t>
      </w:r>
    </w:p>
    <w:p w14:paraId="51A60D2D"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Проведення заходів з відстеження результативності прийнятого рішення.</w:t>
      </w:r>
    </w:p>
    <w:p w14:paraId="6A546125" w14:textId="56208926"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Після прийняття регуляторного акт</w:t>
      </w:r>
      <w:r w:rsidR="006B7911" w:rsidRPr="00216BDD">
        <w:rPr>
          <w:rFonts w:ascii="Times New Roman" w:hAnsi="Times New Roman" w:cs="Times New Roman"/>
          <w:sz w:val="28"/>
          <w:szCs w:val="28"/>
        </w:rPr>
        <w:t>у</w:t>
      </w:r>
      <w:r w:rsidRPr="00216BDD">
        <w:rPr>
          <w:rFonts w:ascii="Times New Roman" w:hAnsi="Times New Roman" w:cs="Times New Roman"/>
          <w:sz w:val="28"/>
          <w:szCs w:val="28"/>
        </w:rPr>
        <w:t xml:space="preserve"> очікується: </w:t>
      </w:r>
    </w:p>
    <w:p w14:paraId="421FB490"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забезпечення права орендарів, які мають відповідно до ст. 15 Закону право оренди без аукціону; </w:t>
      </w:r>
    </w:p>
    <w:p w14:paraId="555ED64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ефективне використання комунального майна; </w:t>
      </w:r>
    </w:p>
    <w:p w14:paraId="324F0CB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збереження кількості орендарів комунального майна; </w:t>
      </w:r>
    </w:p>
    <w:p w14:paraId="1DA8187C"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збільшення надходжень до місцевого бюджету.</w:t>
      </w:r>
    </w:p>
    <w:p w14:paraId="54C00983"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VI. Оцінка виконання вимог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C5CE793" w14:textId="1768B8B2" w:rsidR="002713A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Реалізація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не потребує додаткових фінансових, матеріальних та інших витрат, ані від органів влади, ані від суб’єктів господарювання. Акт спрямований на забезпечення належного функціонування існуючих механізмів, органів державної влади та місцевого самоврядування та не запроваджує нових механізмів, пов’язаних із витратами на відповідне адміністрування. Розрахунок витрат суб’єктів господарювання: виконання вимог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не призведе до додаткових витрат кожного суб’єкта господарювання. Кожен суб’єкт господарювання на власний розсуд обирає для себе, чи скористатись йому своїм правом на оренду комунального майна та чи прийнятні для нього умови отримання майна в оренду. </w:t>
      </w:r>
    </w:p>
    <w:p w14:paraId="53F386F7" w14:textId="3E8D4355"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ТЕСТ малого підприємництва (М-Тест)</w:t>
      </w:r>
    </w:p>
    <w:p w14:paraId="408D868D"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106F9A6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1. Консультації з представниками мікро- та малого підприємництва щодо оцінки впливу регулювання</w:t>
      </w:r>
    </w:p>
    <w:p w14:paraId="248235D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Консультації щодо визначення впливу запропонованого регулювання на суб’єктів малого підприємництва (далі – СМП) не проводились, оскільки даним </w:t>
      </w:r>
      <w:proofErr w:type="spellStart"/>
      <w:r w:rsidRPr="00216BDD">
        <w:rPr>
          <w:rFonts w:ascii="Times New Roman" w:hAnsi="Times New Roman" w:cs="Times New Roman"/>
          <w:sz w:val="28"/>
          <w:szCs w:val="28"/>
        </w:rPr>
        <w:t>проєктом</w:t>
      </w:r>
      <w:proofErr w:type="spellEnd"/>
      <w:r w:rsidRPr="00216BDD">
        <w:rPr>
          <w:rFonts w:ascii="Times New Roman" w:hAnsi="Times New Roman" w:cs="Times New Roman"/>
          <w:sz w:val="28"/>
          <w:szCs w:val="28"/>
        </w:rPr>
        <w:t xml:space="preserve"> рішення міська рада реалізує передбачену новим Законом України “Про оренду державного та комунального майна” № 157-ІХ від 03.10.2019 р. можливість для представницьких органів місцевого самоврядування самостійного розроблення та затвердження нормативних актів щодо комунального майна в чітких межах визначених Законом з метою врахування особливостей комунального майна.</w:t>
      </w:r>
    </w:p>
    <w:p w14:paraId="325807D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lastRenderedPageBreak/>
        <w:t>2. Вимірювання впливу регулювання на суб’єктів малого підприємництва (мікро- та малі)</w:t>
      </w:r>
    </w:p>
    <w:p w14:paraId="7632A12B"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0F5DE07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Кількість суб’єктів господарювання, на які поширюватиметься регулювання та питому вагу СМП у загальній кількості суб’єктів господарювання визначити не можливо, оскільки потенційним орендарем комунального майна може стати будь-який суб’єкт господарювання (за винятком осіб, які не можуть бути орендарями відповідно до Закону), відтак, можлива кількість суб’єктів господарювання, на яких може поширюватись регулювання, - це вся кількість суб’єктів господарювання, зареєстрованих в нашій державі і не тільки. Оскільки, відповідно до ст. 4 нового Закону України “Про оренду державного та комунального майна” № 157-ІХ від 03.10.2019 р., 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w:t>
      </w:r>
    </w:p>
    <w:p w14:paraId="1F77FF3B"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59874C67"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3. Розрахунок витрат суб’єктів малого підприємництва на виконання вимог регулювання</w:t>
      </w:r>
    </w:p>
    <w:p w14:paraId="368B00AF"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0DA5F752"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tbl>
      <w:tblPr>
        <w:tblW w:w="9855" w:type="dxa"/>
        <w:tblInd w:w="2" w:type="dxa"/>
        <w:tblLayout w:type="fixed"/>
        <w:tblCellMar>
          <w:left w:w="113" w:type="dxa"/>
        </w:tblCellMar>
        <w:tblLook w:val="0000" w:firstRow="0" w:lastRow="0" w:firstColumn="0" w:lastColumn="0" w:noHBand="0" w:noVBand="0"/>
      </w:tblPr>
      <w:tblGrid>
        <w:gridCol w:w="534"/>
        <w:gridCol w:w="2690"/>
        <w:gridCol w:w="1985"/>
        <w:gridCol w:w="28"/>
        <w:gridCol w:w="2099"/>
        <w:gridCol w:w="27"/>
        <w:gridCol w:w="2492"/>
      </w:tblGrid>
      <w:tr w:rsidR="00D37C4D" w:rsidRPr="00216BDD" w14:paraId="337D93C0" w14:textId="77777777" w:rsidTr="00AC1042">
        <w:tc>
          <w:tcPr>
            <w:tcW w:w="534" w:type="dxa"/>
            <w:tcBorders>
              <w:top w:val="single" w:sz="4" w:space="0" w:color="000000"/>
              <w:left w:val="single" w:sz="4" w:space="0" w:color="000000"/>
              <w:bottom w:val="single" w:sz="4" w:space="0" w:color="000000"/>
              <w:right w:val="single" w:sz="4" w:space="0" w:color="000000"/>
            </w:tcBorders>
          </w:tcPr>
          <w:p w14:paraId="330DABA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tcPr>
          <w:p w14:paraId="2E7FF01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Найменування оцінки</w:t>
            </w:r>
          </w:p>
        </w:tc>
        <w:tc>
          <w:tcPr>
            <w:tcW w:w="1985" w:type="dxa"/>
            <w:tcBorders>
              <w:top w:val="single" w:sz="4" w:space="0" w:color="000000"/>
              <w:left w:val="single" w:sz="4" w:space="0" w:color="000000"/>
              <w:bottom w:val="single" w:sz="4" w:space="0" w:color="000000"/>
              <w:right w:val="single" w:sz="4" w:space="0" w:color="000000"/>
            </w:tcBorders>
          </w:tcPr>
          <w:p w14:paraId="7D2AF0A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У перший рік стартовий рік впровадження регулювання)</w:t>
            </w:r>
          </w:p>
        </w:tc>
        <w:tc>
          <w:tcPr>
            <w:tcW w:w="2127" w:type="dxa"/>
            <w:gridSpan w:val="2"/>
            <w:tcBorders>
              <w:top w:val="single" w:sz="4" w:space="0" w:color="000000"/>
              <w:left w:val="single" w:sz="4" w:space="0" w:color="000000"/>
              <w:bottom w:val="single" w:sz="4" w:space="0" w:color="000000"/>
              <w:right w:val="single" w:sz="4" w:space="0" w:color="000000"/>
            </w:tcBorders>
          </w:tcPr>
          <w:p w14:paraId="735E52DC"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Періодичні (за наступний рік)</w:t>
            </w:r>
          </w:p>
        </w:tc>
        <w:tc>
          <w:tcPr>
            <w:tcW w:w="2519" w:type="dxa"/>
            <w:gridSpan w:val="2"/>
            <w:tcBorders>
              <w:top w:val="single" w:sz="4" w:space="0" w:color="000000"/>
              <w:left w:val="single" w:sz="4" w:space="0" w:color="000000"/>
              <w:bottom w:val="single" w:sz="4" w:space="0" w:color="000000"/>
              <w:right w:val="single" w:sz="4" w:space="0" w:color="000000"/>
            </w:tcBorders>
          </w:tcPr>
          <w:p w14:paraId="049DC43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Витрати за п ’ять років</w:t>
            </w:r>
          </w:p>
        </w:tc>
      </w:tr>
      <w:tr w:rsidR="00D37C4D" w:rsidRPr="00216BDD" w14:paraId="77EA35CA" w14:textId="77777777" w:rsidTr="00AC1042">
        <w:tc>
          <w:tcPr>
            <w:tcW w:w="9855" w:type="dxa"/>
            <w:gridSpan w:val="7"/>
            <w:tcBorders>
              <w:top w:val="single" w:sz="4" w:space="0" w:color="000000"/>
              <w:left w:val="single" w:sz="4" w:space="0" w:color="000000"/>
              <w:bottom w:val="single" w:sz="4" w:space="0" w:color="000000"/>
              <w:right w:val="single" w:sz="4" w:space="0" w:color="000000"/>
            </w:tcBorders>
          </w:tcPr>
          <w:p w14:paraId="739A0CC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Оцінка “прямих” витрат суб’єктів малого підприємництва на виконання регулювання</w:t>
            </w:r>
          </w:p>
        </w:tc>
      </w:tr>
      <w:tr w:rsidR="00D37C4D" w:rsidRPr="00216BDD" w14:paraId="023B981B" w14:textId="77777777" w:rsidTr="00AC1042">
        <w:tc>
          <w:tcPr>
            <w:tcW w:w="534" w:type="dxa"/>
            <w:tcBorders>
              <w:top w:val="single" w:sz="4" w:space="0" w:color="000000"/>
              <w:left w:val="single" w:sz="4" w:space="0" w:color="000000"/>
              <w:bottom w:val="single" w:sz="4" w:space="0" w:color="000000"/>
              <w:right w:val="single" w:sz="4" w:space="0" w:color="000000"/>
            </w:tcBorders>
          </w:tcPr>
          <w:p w14:paraId="6F1E896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1.</w:t>
            </w:r>
          </w:p>
        </w:tc>
        <w:tc>
          <w:tcPr>
            <w:tcW w:w="2690" w:type="dxa"/>
            <w:tcBorders>
              <w:top w:val="single" w:sz="4" w:space="0" w:color="000000"/>
              <w:left w:val="single" w:sz="4" w:space="0" w:color="000000"/>
              <w:bottom w:val="single" w:sz="4" w:space="0" w:color="000000"/>
              <w:right w:val="single" w:sz="4" w:space="0" w:color="000000"/>
            </w:tcBorders>
          </w:tcPr>
          <w:p w14:paraId="018B3554"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Придбання необхідного обладнання (пристроїв, машин, механізмів)</w:t>
            </w:r>
          </w:p>
        </w:tc>
        <w:tc>
          <w:tcPr>
            <w:tcW w:w="1985" w:type="dxa"/>
            <w:tcBorders>
              <w:top w:val="single" w:sz="4" w:space="0" w:color="000000"/>
              <w:left w:val="single" w:sz="4" w:space="0" w:color="000000"/>
              <w:bottom w:val="single" w:sz="4" w:space="0" w:color="000000"/>
              <w:right w:val="single" w:sz="4" w:space="0" w:color="000000"/>
            </w:tcBorders>
          </w:tcPr>
          <w:p w14:paraId="54898E70"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c>
          <w:tcPr>
            <w:tcW w:w="2127" w:type="dxa"/>
            <w:gridSpan w:val="2"/>
            <w:tcBorders>
              <w:top w:val="single" w:sz="4" w:space="0" w:color="000000"/>
              <w:left w:val="single" w:sz="4" w:space="0" w:color="000000"/>
              <w:bottom w:val="single" w:sz="4" w:space="0" w:color="000000"/>
              <w:right w:val="single" w:sz="4" w:space="0" w:color="000000"/>
            </w:tcBorders>
          </w:tcPr>
          <w:p w14:paraId="3C2A3DFF"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c>
          <w:tcPr>
            <w:tcW w:w="2519" w:type="dxa"/>
            <w:gridSpan w:val="2"/>
            <w:tcBorders>
              <w:top w:val="single" w:sz="4" w:space="0" w:color="000000"/>
              <w:left w:val="single" w:sz="4" w:space="0" w:color="000000"/>
              <w:bottom w:val="single" w:sz="4" w:space="0" w:color="000000"/>
              <w:right w:val="single" w:sz="4" w:space="0" w:color="000000"/>
            </w:tcBorders>
          </w:tcPr>
          <w:p w14:paraId="3B9946BD"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r>
      <w:tr w:rsidR="00D37C4D" w:rsidRPr="00216BDD" w14:paraId="2799480E" w14:textId="77777777" w:rsidTr="00AC1042">
        <w:tc>
          <w:tcPr>
            <w:tcW w:w="534" w:type="dxa"/>
            <w:tcBorders>
              <w:top w:val="single" w:sz="4" w:space="0" w:color="000000"/>
              <w:left w:val="single" w:sz="4" w:space="0" w:color="000000"/>
              <w:bottom w:val="single" w:sz="4" w:space="0" w:color="000000"/>
              <w:right w:val="single" w:sz="4" w:space="0" w:color="000000"/>
            </w:tcBorders>
          </w:tcPr>
          <w:p w14:paraId="4346F64F"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2.</w:t>
            </w:r>
          </w:p>
        </w:tc>
        <w:tc>
          <w:tcPr>
            <w:tcW w:w="2690" w:type="dxa"/>
            <w:tcBorders>
              <w:top w:val="single" w:sz="4" w:space="0" w:color="000000"/>
              <w:left w:val="single" w:sz="4" w:space="0" w:color="000000"/>
              <w:bottom w:val="single" w:sz="4" w:space="0" w:color="000000"/>
              <w:right w:val="single" w:sz="4" w:space="0" w:color="000000"/>
            </w:tcBorders>
          </w:tcPr>
          <w:p w14:paraId="14641EE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Процедури повірки та/або постановки на відповідний облік у визначеному </w:t>
            </w:r>
            <w:r w:rsidRPr="00216BDD">
              <w:rPr>
                <w:rFonts w:ascii="Times New Roman" w:hAnsi="Times New Roman" w:cs="Times New Roman"/>
                <w:sz w:val="28"/>
                <w:szCs w:val="28"/>
              </w:rPr>
              <w:lastRenderedPageBreak/>
              <w:t>органі державної влади чи місцевого самоврядування</w:t>
            </w:r>
          </w:p>
        </w:tc>
        <w:tc>
          <w:tcPr>
            <w:tcW w:w="1985" w:type="dxa"/>
            <w:tcBorders>
              <w:top w:val="single" w:sz="4" w:space="0" w:color="000000"/>
              <w:left w:val="single" w:sz="4" w:space="0" w:color="000000"/>
              <w:bottom w:val="single" w:sz="4" w:space="0" w:color="000000"/>
              <w:right w:val="single" w:sz="4" w:space="0" w:color="000000"/>
            </w:tcBorders>
          </w:tcPr>
          <w:p w14:paraId="6001509D"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lastRenderedPageBreak/>
              <w:t>н/п</w:t>
            </w:r>
          </w:p>
        </w:tc>
        <w:tc>
          <w:tcPr>
            <w:tcW w:w="2127" w:type="dxa"/>
            <w:gridSpan w:val="2"/>
            <w:tcBorders>
              <w:top w:val="single" w:sz="4" w:space="0" w:color="000000"/>
              <w:left w:val="single" w:sz="4" w:space="0" w:color="000000"/>
              <w:bottom w:val="single" w:sz="4" w:space="0" w:color="000000"/>
              <w:right w:val="single" w:sz="4" w:space="0" w:color="000000"/>
            </w:tcBorders>
          </w:tcPr>
          <w:p w14:paraId="2D7E7DB0"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c>
          <w:tcPr>
            <w:tcW w:w="2519" w:type="dxa"/>
            <w:gridSpan w:val="2"/>
            <w:tcBorders>
              <w:top w:val="single" w:sz="4" w:space="0" w:color="000000"/>
              <w:left w:val="single" w:sz="4" w:space="0" w:color="000000"/>
              <w:bottom w:val="single" w:sz="4" w:space="0" w:color="000000"/>
              <w:right w:val="single" w:sz="4" w:space="0" w:color="000000"/>
            </w:tcBorders>
          </w:tcPr>
          <w:p w14:paraId="68A89CE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r>
      <w:tr w:rsidR="00D37C4D" w:rsidRPr="00216BDD" w14:paraId="5DBA40BA" w14:textId="77777777" w:rsidTr="00AC1042">
        <w:tc>
          <w:tcPr>
            <w:tcW w:w="534" w:type="dxa"/>
            <w:tcBorders>
              <w:top w:val="single" w:sz="4" w:space="0" w:color="000000"/>
              <w:left w:val="single" w:sz="4" w:space="0" w:color="000000"/>
              <w:bottom w:val="single" w:sz="4" w:space="0" w:color="000000"/>
              <w:right w:val="single" w:sz="4" w:space="0" w:color="000000"/>
            </w:tcBorders>
          </w:tcPr>
          <w:p w14:paraId="3E6E02A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3.</w:t>
            </w:r>
          </w:p>
        </w:tc>
        <w:tc>
          <w:tcPr>
            <w:tcW w:w="2690" w:type="dxa"/>
            <w:tcBorders>
              <w:top w:val="single" w:sz="4" w:space="0" w:color="000000"/>
              <w:left w:val="single" w:sz="4" w:space="0" w:color="000000"/>
              <w:bottom w:val="single" w:sz="4" w:space="0" w:color="000000"/>
              <w:right w:val="single" w:sz="4" w:space="0" w:color="000000"/>
            </w:tcBorders>
          </w:tcPr>
          <w:p w14:paraId="1D6871AC"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Процедури експлуатації обладнання (експлуатаційні витрати - витратні матеріали)</w:t>
            </w:r>
          </w:p>
        </w:tc>
        <w:tc>
          <w:tcPr>
            <w:tcW w:w="1985" w:type="dxa"/>
            <w:tcBorders>
              <w:top w:val="single" w:sz="4" w:space="0" w:color="000000"/>
              <w:left w:val="single" w:sz="4" w:space="0" w:color="000000"/>
              <w:bottom w:val="single" w:sz="4" w:space="0" w:color="000000"/>
              <w:right w:val="single" w:sz="4" w:space="0" w:color="000000"/>
            </w:tcBorders>
          </w:tcPr>
          <w:p w14:paraId="4ADDA561"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c>
          <w:tcPr>
            <w:tcW w:w="2127" w:type="dxa"/>
            <w:gridSpan w:val="2"/>
            <w:tcBorders>
              <w:top w:val="single" w:sz="4" w:space="0" w:color="000000"/>
              <w:left w:val="single" w:sz="4" w:space="0" w:color="000000"/>
              <w:bottom w:val="single" w:sz="4" w:space="0" w:color="000000"/>
              <w:right w:val="single" w:sz="4" w:space="0" w:color="000000"/>
            </w:tcBorders>
          </w:tcPr>
          <w:p w14:paraId="341E6889"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c>
          <w:tcPr>
            <w:tcW w:w="2519" w:type="dxa"/>
            <w:gridSpan w:val="2"/>
            <w:tcBorders>
              <w:top w:val="single" w:sz="4" w:space="0" w:color="000000"/>
              <w:left w:val="single" w:sz="4" w:space="0" w:color="000000"/>
              <w:bottom w:val="single" w:sz="4" w:space="0" w:color="000000"/>
              <w:right w:val="single" w:sz="4" w:space="0" w:color="000000"/>
            </w:tcBorders>
          </w:tcPr>
          <w:p w14:paraId="0D9D11A3"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r>
      <w:tr w:rsidR="00D37C4D" w:rsidRPr="00216BDD" w14:paraId="6E1393CF" w14:textId="77777777" w:rsidTr="00AC1042">
        <w:tc>
          <w:tcPr>
            <w:tcW w:w="534" w:type="dxa"/>
            <w:tcBorders>
              <w:top w:val="single" w:sz="4" w:space="0" w:color="000000"/>
              <w:left w:val="single" w:sz="4" w:space="0" w:color="000000"/>
              <w:bottom w:val="single" w:sz="4" w:space="0" w:color="000000"/>
              <w:right w:val="single" w:sz="4" w:space="0" w:color="000000"/>
            </w:tcBorders>
          </w:tcPr>
          <w:p w14:paraId="4D52075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4.</w:t>
            </w:r>
          </w:p>
        </w:tc>
        <w:tc>
          <w:tcPr>
            <w:tcW w:w="2690" w:type="dxa"/>
            <w:tcBorders>
              <w:top w:val="single" w:sz="4" w:space="0" w:color="000000"/>
              <w:left w:val="single" w:sz="4" w:space="0" w:color="000000"/>
              <w:bottom w:val="single" w:sz="4" w:space="0" w:color="000000"/>
              <w:right w:val="single" w:sz="4" w:space="0" w:color="000000"/>
            </w:tcBorders>
          </w:tcPr>
          <w:p w14:paraId="5EF0AAC3"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Процедури обслуговування обладнання (технічне обслуговування)</w:t>
            </w:r>
          </w:p>
        </w:tc>
        <w:tc>
          <w:tcPr>
            <w:tcW w:w="1985" w:type="dxa"/>
            <w:tcBorders>
              <w:top w:val="single" w:sz="4" w:space="0" w:color="000000"/>
              <w:left w:val="single" w:sz="4" w:space="0" w:color="000000"/>
              <w:bottom w:val="single" w:sz="4" w:space="0" w:color="000000"/>
              <w:right w:val="single" w:sz="4" w:space="0" w:color="000000"/>
            </w:tcBorders>
          </w:tcPr>
          <w:p w14:paraId="51D3D4F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c>
          <w:tcPr>
            <w:tcW w:w="2127" w:type="dxa"/>
            <w:gridSpan w:val="2"/>
            <w:tcBorders>
              <w:top w:val="single" w:sz="4" w:space="0" w:color="000000"/>
              <w:left w:val="single" w:sz="4" w:space="0" w:color="000000"/>
              <w:bottom w:val="single" w:sz="4" w:space="0" w:color="000000"/>
              <w:right w:val="single" w:sz="4" w:space="0" w:color="000000"/>
            </w:tcBorders>
          </w:tcPr>
          <w:p w14:paraId="469E685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c>
          <w:tcPr>
            <w:tcW w:w="2519" w:type="dxa"/>
            <w:gridSpan w:val="2"/>
            <w:tcBorders>
              <w:top w:val="single" w:sz="4" w:space="0" w:color="000000"/>
              <w:left w:val="single" w:sz="4" w:space="0" w:color="000000"/>
              <w:bottom w:val="single" w:sz="4" w:space="0" w:color="000000"/>
              <w:right w:val="single" w:sz="4" w:space="0" w:color="000000"/>
            </w:tcBorders>
          </w:tcPr>
          <w:p w14:paraId="4616A70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r>
      <w:tr w:rsidR="00D37C4D" w:rsidRPr="00216BDD" w14:paraId="09E410BB" w14:textId="77777777" w:rsidTr="00AC1042">
        <w:tc>
          <w:tcPr>
            <w:tcW w:w="534" w:type="dxa"/>
            <w:tcBorders>
              <w:top w:val="single" w:sz="4" w:space="0" w:color="000000"/>
              <w:left w:val="single" w:sz="4" w:space="0" w:color="000000"/>
              <w:bottom w:val="single" w:sz="4" w:space="0" w:color="000000"/>
              <w:right w:val="single" w:sz="4" w:space="0" w:color="000000"/>
            </w:tcBorders>
          </w:tcPr>
          <w:p w14:paraId="001A503C"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5.</w:t>
            </w:r>
          </w:p>
        </w:tc>
        <w:tc>
          <w:tcPr>
            <w:tcW w:w="2690" w:type="dxa"/>
            <w:tcBorders>
              <w:top w:val="single" w:sz="4" w:space="0" w:color="000000"/>
              <w:left w:val="single" w:sz="4" w:space="0" w:color="000000"/>
              <w:bottom w:val="single" w:sz="4" w:space="0" w:color="000000"/>
              <w:right w:val="single" w:sz="4" w:space="0" w:color="000000"/>
            </w:tcBorders>
          </w:tcPr>
          <w:p w14:paraId="0C84ADCB"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Сплата пайової участі (у разі обрання СГ)</w:t>
            </w:r>
          </w:p>
        </w:tc>
        <w:tc>
          <w:tcPr>
            <w:tcW w:w="1985" w:type="dxa"/>
            <w:tcBorders>
              <w:top w:val="single" w:sz="4" w:space="0" w:color="000000"/>
              <w:left w:val="single" w:sz="4" w:space="0" w:color="000000"/>
              <w:bottom w:val="single" w:sz="4" w:space="0" w:color="000000"/>
              <w:right w:val="single" w:sz="4" w:space="0" w:color="000000"/>
            </w:tcBorders>
          </w:tcPr>
          <w:p w14:paraId="590C0DB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c>
          <w:tcPr>
            <w:tcW w:w="2127" w:type="dxa"/>
            <w:gridSpan w:val="2"/>
            <w:tcBorders>
              <w:top w:val="single" w:sz="4" w:space="0" w:color="000000"/>
              <w:left w:val="single" w:sz="4" w:space="0" w:color="000000"/>
              <w:bottom w:val="single" w:sz="4" w:space="0" w:color="000000"/>
              <w:right w:val="single" w:sz="4" w:space="0" w:color="000000"/>
            </w:tcBorders>
          </w:tcPr>
          <w:p w14:paraId="3E777DA4"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c>
          <w:tcPr>
            <w:tcW w:w="2519" w:type="dxa"/>
            <w:gridSpan w:val="2"/>
            <w:tcBorders>
              <w:top w:val="single" w:sz="4" w:space="0" w:color="000000"/>
              <w:left w:val="single" w:sz="4" w:space="0" w:color="000000"/>
              <w:bottom w:val="single" w:sz="4" w:space="0" w:color="000000"/>
              <w:right w:val="single" w:sz="4" w:space="0" w:color="000000"/>
            </w:tcBorders>
          </w:tcPr>
          <w:p w14:paraId="091BC869"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н/п</w:t>
            </w:r>
          </w:p>
        </w:tc>
      </w:tr>
      <w:tr w:rsidR="00D37C4D" w:rsidRPr="00216BDD" w14:paraId="3473586F" w14:textId="77777777" w:rsidTr="00AC1042">
        <w:trPr>
          <w:trHeight w:val="388"/>
        </w:trPr>
        <w:tc>
          <w:tcPr>
            <w:tcW w:w="534" w:type="dxa"/>
            <w:tcBorders>
              <w:top w:val="single" w:sz="4" w:space="0" w:color="000000"/>
              <w:left w:val="single" w:sz="4" w:space="0" w:color="000000"/>
              <w:bottom w:val="single" w:sz="4" w:space="0" w:color="000000"/>
              <w:right w:val="single" w:sz="4" w:space="0" w:color="000000"/>
            </w:tcBorders>
          </w:tcPr>
          <w:p w14:paraId="0D628C5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6.</w:t>
            </w:r>
          </w:p>
        </w:tc>
        <w:tc>
          <w:tcPr>
            <w:tcW w:w="2690" w:type="dxa"/>
            <w:tcBorders>
              <w:top w:val="single" w:sz="4" w:space="0" w:color="000000"/>
              <w:left w:val="single" w:sz="4" w:space="0" w:color="000000"/>
              <w:bottom w:val="single" w:sz="4" w:space="0" w:color="000000"/>
              <w:right w:val="single" w:sz="4" w:space="0" w:color="000000"/>
            </w:tcBorders>
          </w:tcPr>
          <w:p w14:paraId="18AE6DC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Разом, гривень</w:t>
            </w:r>
          </w:p>
        </w:tc>
        <w:tc>
          <w:tcPr>
            <w:tcW w:w="1985" w:type="dxa"/>
            <w:tcBorders>
              <w:top w:val="single" w:sz="4" w:space="0" w:color="000000"/>
              <w:left w:val="single" w:sz="4" w:space="0" w:color="000000"/>
              <w:bottom w:val="single" w:sz="4" w:space="0" w:color="000000"/>
              <w:right w:val="single" w:sz="4" w:space="0" w:color="000000"/>
            </w:tcBorders>
          </w:tcPr>
          <w:p w14:paraId="76B6170C"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00, 00</w:t>
            </w:r>
          </w:p>
        </w:tc>
        <w:tc>
          <w:tcPr>
            <w:tcW w:w="2127" w:type="dxa"/>
            <w:gridSpan w:val="2"/>
            <w:tcBorders>
              <w:top w:val="single" w:sz="4" w:space="0" w:color="000000"/>
              <w:left w:val="single" w:sz="4" w:space="0" w:color="000000"/>
              <w:bottom w:val="single" w:sz="4" w:space="0" w:color="000000"/>
              <w:right w:val="single" w:sz="4" w:space="0" w:color="000000"/>
            </w:tcBorders>
          </w:tcPr>
          <w:p w14:paraId="429F2A8F"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Х</w:t>
            </w:r>
          </w:p>
        </w:tc>
        <w:tc>
          <w:tcPr>
            <w:tcW w:w="2519" w:type="dxa"/>
            <w:gridSpan w:val="2"/>
            <w:tcBorders>
              <w:top w:val="single" w:sz="4" w:space="0" w:color="000000"/>
              <w:left w:val="single" w:sz="4" w:space="0" w:color="000000"/>
              <w:bottom w:val="single" w:sz="4" w:space="0" w:color="000000"/>
              <w:right w:val="single" w:sz="4" w:space="0" w:color="000000"/>
            </w:tcBorders>
          </w:tcPr>
          <w:p w14:paraId="6F308BE2"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Х</w:t>
            </w:r>
          </w:p>
        </w:tc>
      </w:tr>
      <w:tr w:rsidR="00D37C4D" w:rsidRPr="00216BDD" w14:paraId="78F440A2" w14:textId="77777777" w:rsidTr="00AC1042">
        <w:trPr>
          <w:trHeight w:val="412"/>
        </w:trPr>
        <w:tc>
          <w:tcPr>
            <w:tcW w:w="534" w:type="dxa"/>
            <w:tcBorders>
              <w:top w:val="single" w:sz="4" w:space="0" w:color="000000"/>
              <w:left w:val="single" w:sz="4" w:space="0" w:color="000000"/>
              <w:bottom w:val="single" w:sz="4" w:space="0" w:color="000000"/>
              <w:right w:val="single" w:sz="4" w:space="0" w:color="000000"/>
            </w:tcBorders>
          </w:tcPr>
          <w:p w14:paraId="48147390"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7.</w:t>
            </w:r>
          </w:p>
        </w:tc>
        <w:tc>
          <w:tcPr>
            <w:tcW w:w="2690" w:type="dxa"/>
            <w:tcBorders>
              <w:top w:val="single" w:sz="4" w:space="0" w:color="000000"/>
              <w:left w:val="single" w:sz="4" w:space="0" w:color="000000"/>
              <w:bottom w:val="single" w:sz="4" w:space="0" w:color="000000"/>
              <w:right w:val="single" w:sz="4" w:space="0" w:color="000000"/>
            </w:tcBorders>
          </w:tcPr>
          <w:p w14:paraId="53A241F7"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Кількість суб’єктів господарювання, що повинні виконати вимоги регулювання, одиниць</w:t>
            </w:r>
          </w:p>
        </w:tc>
        <w:tc>
          <w:tcPr>
            <w:tcW w:w="2013" w:type="dxa"/>
            <w:gridSpan w:val="2"/>
            <w:tcBorders>
              <w:top w:val="single" w:sz="4" w:space="0" w:color="000000"/>
              <w:left w:val="single" w:sz="4" w:space="0" w:color="000000"/>
              <w:bottom w:val="single" w:sz="4" w:space="0" w:color="000000"/>
              <w:right w:val="single" w:sz="4" w:space="0" w:color="000000"/>
            </w:tcBorders>
          </w:tcPr>
          <w:p w14:paraId="12C974B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w:t>
            </w:r>
          </w:p>
        </w:tc>
        <w:tc>
          <w:tcPr>
            <w:tcW w:w="2126" w:type="dxa"/>
            <w:gridSpan w:val="2"/>
            <w:tcBorders>
              <w:top w:val="single" w:sz="4" w:space="0" w:color="000000"/>
              <w:left w:val="single" w:sz="4" w:space="0" w:color="000000"/>
              <w:bottom w:val="single" w:sz="4" w:space="0" w:color="000000"/>
              <w:right w:val="single" w:sz="4" w:space="0" w:color="000000"/>
            </w:tcBorders>
          </w:tcPr>
          <w:p w14:paraId="558FCECC"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w:t>
            </w:r>
          </w:p>
        </w:tc>
        <w:tc>
          <w:tcPr>
            <w:tcW w:w="2492" w:type="dxa"/>
            <w:tcBorders>
              <w:top w:val="single" w:sz="4" w:space="0" w:color="000000"/>
              <w:left w:val="single" w:sz="4" w:space="0" w:color="000000"/>
              <w:bottom w:val="single" w:sz="4" w:space="0" w:color="000000"/>
              <w:right w:val="single" w:sz="4" w:space="0" w:color="000000"/>
            </w:tcBorders>
          </w:tcPr>
          <w:p w14:paraId="08FD500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w:t>
            </w:r>
          </w:p>
        </w:tc>
      </w:tr>
      <w:tr w:rsidR="00D37C4D" w:rsidRPr="00216BDD" w14:paraId="48B46840" w14:textId="77777777" w:rsidTr="00AC1042">
        <w:trPr>
          <w:trHeight w:val="266"/>
        </w:trPr>
        <w:tc>
          <w:tcPr>
            <w:tcW w:w="534" w:type="dxa"/>
            <w:tcBorders>
              <w:top w:val="single" w:sz="4" w:space="0" w:color="000000"/>
              <w:left w:val="single" w:sz="4" w:space="0" w:color="000000"/>
              <w:bottom w:val="single" w:sz="4" w:space="0" w:color="000000"/>
              <w:right w:val="single" w:sz="4" w:space="0" w:color="000000"/>
            </w:tcBorders>
          </w:tcPr>
          <w:p w14:paraId="4D607F1C"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8.</w:t>
            </w:r>
          </w:p>
        </w:tc>
        <w:tc>
          <w:tcPr>
            <w:tcW w:w="2690" w:type="dxa"/>
            <w:tcBorders>
              <w:top w:val="single" w:sz="4" w:space="0" w:color="000000"/>
              <w:left w:val="single" w:sz="4" w:space="0" w:color="000000"/>
              <w:bottom w:val="single" w:sz="4" w:space="0" w:color="000000"/>
              <w:right w:val="single" w:sz="4" w:space="0" w:color="000000"/>
            </w:tcBorders>
          </w:tcPr>
          <w:p w14:paraId="09F9438B"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Сумарно, гривень</w:t>
            </w:r>
          </w:p>
        </w:tc>
        <w:tc>
          <w:tcPr>
            <w:tcW w:w="1985" w:type="dxa"/>
            <w:tcBorders>
              <w:top w:val="single" w:sz="4" w:space="0" w:color="000000"/>
              <w:left w:val="single" w:sz="4" w:space="0" w:color="000000"/>
              <w:bottom w:val="single" w:sz="4" w:space="0" w:color="000000"/>
              <w:right w:val="single" w:sz="4" w:space="0" w:color="000000"/>
            </w:tcBorders>
          </w:tcPr>
          <w:p w14:paraId="3AA0F454"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00,00</w:t>
            </w:r>
          </w:p>
        </w:tc>
        <w:tc>
          <w:tcPr>
            <w:tcW w:w="2127" w:type="dxa"/>
            <w:gridSpan w:val="2"/>
            <w:tcBorders>
              <w:top w:val="single" w:sz="4" w:space="0" w:color="000000"/>
              <w:left w:val="single" w:sz="4" w:space="0" w:color="000000"/>
              <w:bottom w:val="single" w:sz="4" w:space="0" w:color="000000"/>
              <w:right w:val="single" w:sz="4" w:space="0" w:color="000000"/>
            </w:tcBorders>
          </w:tcPr>
          <w:p w14:paraId="4BCA0345"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Х*</w:t>
            </w:r>
          </w:p>
        </w:tc>
        <w:tc>
          <w:tcPr>
            <w:tcW w:w="2519" w:type="dxa"/>
            <w:gridSpan w:val="2"/>
            <w:tcBorders>
              <w:top w:val="single" w:sz="4" w:space="0" w:color="000000"/>
              <w:left w:val="single" w:sz="4" w:space="0" w:color="000000"/>
              <w:bottom w:val="single" w:sz="4" w:space="0" w:color="000000"/>
              <w:right w:val="single" w:sz="4" w:space="0" w:color="000000"/>
            </w:tcBorders>
          </w:tcPr>
          <w:p w14:paraId="1FEC563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Х*</w:t>
            </w:r>
          </w:p>
        </w:tc>
      </w:tr>
    </w:tbl>
    <w:p w14:paraId="4C104B25"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281FB9DD"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показник не встановлено, оскільки розрахувати кількість суб’єктів, які виявлять бажання взяти в оренду майно вперше, розрахувати неможливо. Бюджетні витрати на адміністрування регулювання суб’єктів малого підприємництва не передбачені.</w:t>
      </w:r>
    </w:p>
    <w:p w14:paraId="642A0A95"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3BE4D1EB"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4. Розрахунок сумарних витрат суб’єктів малого підприємництва, що виникають на виконання вимог регулювання. </w:t>
      </w:r>
    </w:p>
    <w:p w14:paraId="5455EB67"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lastRenderedPageBreak/>
        <w:t xml:space="preserve">Запропонованим </w:t>
      </w:r>
      <w:proofErr w:type="spellStart"/>
      <w:r w:rsidRPr="00216BDD">
        <w:rPr>
          <w:rFonts w:ascii="Times New Roman" w:hAnsi="Times New Roman" w:cs="Times New Roman"/>
          <w:sz w:val="28"/>
          <w:szCs w:val="28"/>
        </w:rPr>
        <w:t>проєктом</w:t>
      </w:r>
      <w:proofErr w:type="spellEnd"/>
      <w:r w:rsidRPr="00216BDD">
        <w:rPr>
          <w:rFonts w:ascii="Times New Roman" w:hAnsi="Times New Roman" w:cs="Times New Roman"/>
          <w:sz w:val="28"/>
          <w:szCs w:val="28"/>
        </w:rPr>
        <w:t xml:space="preserve"> рішення селищна рада реалізує передбачену новим Законом України «Про оренду державного та комунального майна» № 157-ІХ від 03.10.2019 р. можливість для представницьких органів місцевого самоврядування самостійного розроблення та затвердження нормативних актів щодо комунального майна в чітких межах, визначених законом, з метою врахування особливостей комунального майна та не покладає на суб’єктів малого підприємництва будь-яких додаткових витрат, не передбачених законодавством з питань оренди комунального майна</w:t>
      </w:r>
    </w:p>
    <w:p w14:paraId="7F34AFBF"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5. Розроблення коригуючих (пом’якшувальних) заходів для малого підприємництва щодо запропонованого регулювання – неможливо, оскільки такі заходи не передбачено Законом України «Про оренду державного та комунального майна».</w:t>
      </w:r>
    </w:p>
    <w:p w14:paraId="234730B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7D24BFE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VII. Обґрунтування запропонованого строку дії регуляторного </w:t>
      </w:r>
      <w:proofErr w:type="spellStart"/>
      <w:r w:rsidRPr="00216BDD">
        <w:rPr>
          <w:rFonts w:ascii="Times New Roman" w:hAnsi="Times New Roman" w:cs="Times New Roman"/>
          <w:sz w:val="28"/>
          <w:szCs w:val="28"/>
        </w:rPr>
        <w:t>акта</w:t>
      </w:r>
      <w:proofErr w:type="spellEnd"/>
    </w:p>
    <w:p w14:paraId="05E328E9"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Строк дії запропонованого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не обмежений конкретним терміном – постійний, оскільки його прийняття необхідне для постійного дотримання орендодавцями комунального майна, суб'єктами господарювання при передачі комунального майна територіальної громади міста Сміла в оренду.</w:t>
      </w:r>
    </w:p>
    <w:p w14:paraId="76A52F69"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Водночас він може бути змінений на підставі аналізу ефективності його дії, або у зв'язку зі змінами в законодавстві. Перегляд положень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його скасування, відміна чи внесення до нього змін, здійснюватиметься відповідно до вимог Закону України "Про засади державної регуляторної політики у сфері господарської діяльності".</w:t>
      </w:r>
    </w:p>
    <w:p w14:paraId="3A18B4E6"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VIII. Визначення показників результативності дії регуляторного </w:t>
      </w:r>
      <w:proofErr w:type="spellStart"/>
      <w:r w:rsidRPr="00216BDD">
        <w:rPr>
          <w:rFonts w:ascii="Times New Roman" w:hAnsi="Times New Roman" w:cs="Times New Roman"/>
          <w:sz w:val="28"/>
          <w:szCs w:val="28"/>
        </w:rPr>
        <w:t>акта</w:t>
      </w:r>
      <w:proofErr w:type="spellEnd"/>
    </w:p>
    <w:p w14:paraId="60E0A8C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Результативність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буде відстежуватися шляхом: </w:t>
      </w:r>
    </w:p>
    <w:p w14:paraId="25B8CB1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аналізу збільшення розміру надходжень від орендної плати за користування об’єктами права комунальної власності до селищного бюджету; </w:t>
      </w:r>
    </w:p>
    <w:p w14:paraId="3D540C8B"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аналізу ефективності використання комунального майна, шляхом відстеження кількості нових орендарів</w:t>
      </w:r>
    </w:p>
    <w:p w14:paraId="5C720C82"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Показниками результативності запропонованого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будуть: </w:t>
      </w:r>
    </w:p>
    <w:p w14:paraId="1E56B32A"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надходження коштів до місцевого бюджету від оренди комунального майна; </w:t>
      </w:r>
    </w:p>
    <w:p w14:paraId="7F242739"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загальна площа приміщень комунальної власності, переданих в оренду; </w:t>
      </w:r>
    </w:p>
    <w:p w14:paraId="2901B529"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кількість суб’єктів господарювання, на яких поширюється дія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в </w:t>
      </w:r>
      <w:proofErr w:type="spellStart"/>
      <w:r w:rsidRPr="00216BDD">
        <w:rPr>
          <w:rFonts w:ascii="Times New Roman" w:hAnsi="Times New Roman" w:cs="Times New Roman"/>
          <w:sz w:val="28"/>
          <w:szCs w:val="28"/>
        </w:rPr>
        <w:t>т.ч</w:t>
      </w:r>
      <w:proofErr w:type="spellEnd"/>
      <w:r w:rsidRPr="00216BDD">
        <w:rPr>
          <w:rFonts w:ascii="Times New Roman" w:hAnsi="Times New Roman" w:cs="Times New Roman"/>
          <w:sz w:val="28"/>
          <w:szCs w:val="28"/>
        </w:rPr>
        <w:t xml:space="preserve">.: </w:t>
      </w:r>
    </w:p>
    <w:p w14:paraId="418FBEAF"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кількість звернень до Воскресенської селищної ради; </w:t>
      </w:r>
    </w:p>
    <w:p w14:paraId="429322C8"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кількість нових договорів оренди комунального майна; </w:t>
      </w:r>
    </w:p>
    <w:p w14:paraId="21AA1904"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 кількість пролонгованих договорів оренди комунального майна; </w:t>
      </w:r>
    </w:p>
    <w:p w14:paraId="158E7770"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кількість припинених договорів оренди комунального майна.</w:t>
      </w:r>
    </w:p>
    <w:p w14:paraId="1588B405"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386EDD5D"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IX. Визначення заходів, за допомогою яких здійснюватиметься відстеження результативності дії регуляторного </w:t>
      </w:r>
      <w:proofErr w:type="spellStart"/>
      <w:r w:rsidRPr="00216BDD">
        <w:rPr>
          <w:rFonts w:ascii="Times New Roman" w:hAnsi="Times New Roman" w:cs="Times New Roman"/>
          <w:sz w:val="28"/>
          <w:szCs w:val="28"/>
        </w:rPr>
        <w:t>акта</w:t>
      </w:r>
      <w:proofErr w:type="spellEnd"/>
    </w:p>
    <w:p w14:paraId="102EFF72"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Відстеження результативності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буде здійснюватися шляхом моніторингу кількості договорів оренди, у які вносяться зміни з урахування Методики розрахунку орендної плати за комунальне майно. </w:t>
      </w:r>
    </w:p>
    <w:p w14:paraId="760A76E7"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Базове відстеження буде здійснено у місячний термін після набрання чинності шляхом обробки наявних результатів шляхом аналізу та підрахунку статистичних даних. </w:t>
      </w:r>
    </w:p>
    <w:p w14:paraId="0A80687E"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Повторне відстеження результативності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буде здійснено через рік з дня набрання чинності регуляторного акту. За результатами даного відстеження відбудеться порівняння показників з базовим відстеженням. </w:t>
      </w:r>
    </w:p>
    <w:p w14:paraId="7B3564E3"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Періодичне відстеження планується здійснювати раз на три роки, починаючи з дня виконання заходів з повторного відстеження результативності. </w:t>
      </w:r>
    </w:p>
    <w:p w14:paraId="4A6C64BB"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Відстеження результативності дії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буде здійснюватися управлінням економічного розвитку за допомогою статистичних даних за результатами роботи з укладання договорів оренди та змін до них, а також даних балансоутримувачів щодо сплати орендної плати, в </w:t>
      </w:r>
      <w:proofErr w:type="spellStart"/>
      <w:r w:rsidRPr="00216BDD">
        <w:rPr>
          <w:rFonts w:ascii="Times New Roman" w:hAnsi="Times New Roman" w:cs="Times New Roman"/>
          <w:sz w:val="28"/>
          <w:szCs w:val="28"/>
        </w:rPr>
        <w:t>т.ч</w:t>
      </w:r>
      <w:proofErr w:type="spellEnd"/>
      <w:r w:rsidRPr="00216BDD">
        <w:rPr>
          <w:rFonts w:ascii="Times New Roman" w:hAnsi="Times New Roman" w:cs="Times New Roman"/>
          <w:sz w:val="28"/>
          <w:szCs w:val="28"/>
        </w:rPr>
        <w:t xml:space="preserve">. до місцевого бюджету. </w:t>
      </w:r>
    </w:p>
    <w:p w14:paraId="3B6134F9"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Метод відстеження – статистичний. </w:t>
      </w:r>
    </w:p>
    <w:p w14:paraId="1B3A0289" w14:textId="77777777" w:rsidR="00D37C4D" w:rsidRDefault="00D37C4D" w:rsidP="00216BDD">
      <w:pPr>
        <w:spacing w:before="10" w:after="10" w:line="240" w:lineRule="auto"/>
        <w:ind w:left="284" w:right="284" w:firstLine="709"/>
        <w:jc w:val="both"/>
        <w:rPr>
          <w:rFonts w:ascii="Times New Roman" w:hAnsi="Times New Roman" w:cs="Times New Roman"/>
          <w:sz w:val="28"/>
          <w:szCs w:val="28"/>
        </w:rPr>
      </w:pPr>
      <w:r w:rsidRPr="00216BDD">
        <w:rPr>
          <w:rFonts w:ascii="Times New Roman" w:hAnsi="Times New Roman" w:cs="Times New Roman"/>
          <w:sz w:val="28"/>
          <w:szCs w:val="28"/>
        </w:rPr>
        <w:t xml:space="preserve">У разі виявлення неврегульованих та проблемних питань шляхом аналізу показників дії цього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 xml:space="preserve">, такі питання будуть врегульовані шляхом внесення відповідних змін до регуляторного </w:t>
      </w:r>
      <w:proofErr w:type="spellStart"/>
      <w:r w:rsidRPr="00216BDD">
        <w:rPr>
          <w:rFonts w:ascii="Times New Roman" w:hAnsi="Times New Roman" w:cs="Times New Roman"/>
          <w:sz w:val="28"/>
          <w:szCs w:val="28"/>
        </w:rPr>
        <w:t>акта</w:t>
      </w:r>
      <w:proofErr w:type="spellEnd"/>
      <w:r w:rsidRPr="00216BDD">
        <w:rPr>
          <w:rFonts w:ascii="Times New Roman" w:hAnsi="Times New Roman" w:cs="Times New Roman"/>
          <w:sz w:val="28"/>
          <w:szCs w:val="28"/>
        </w:rPr>
        <w:t>.</w:t>
      </w:r>
    </w:p>
    <w:p w14:paraId="560549BB" w14:textId="77777777" w:rsidR="00B36F76" w:rsidRDefault="00B36F76" w:rsidP="00216BDD">
      <w:pPr>
        <w:spacing w:before="10" w:after="10" w:line="240" w:lineRule="auto"/>
        <w:ind w:left="284" w:right="284" w:firstLine="709"/>
        <w:jc w:val="both"/>
        <w:rPr>
          <w:rFonts w:ascii="Times New Roman" w:hAnsi="Times New Roman" w:cs="Times New Roman"/>
          <w:sz w:val="28"/>
          <w:szCs w:val="28"/>
        </w:rPr>
      </w:pPr>
    </w:p>
    <w:p w14:paraId="72B5AB43" w14:textId="77777777" w:rsidR="00B36F76" w:rsidRPr="00216BDD" w:rsidRDefault="00B36F76" w:rsidP="00216BDD">
      <w:pPr>
        <w:spacing w:before="10" w:after="10" w:line="240" w:lineRule="auto"/>
        <w:ind w:left="284" w:right="284" w:firstLine="709"/>
        <w:jc w:val="both"/>
        <w:rPr>
          <w:rFonts w:ascii="Times New Roman" w:hAnsi="Times New Roman" w:cs="Times New Roman"/>
          <w:sz w:val="28"/>
          <w:szCs w:val="28"/>
        </w:rPr>
      </w:pPr>
    </w:p>
    <w:p w14:paraId="1B7FFF97" w14:textId="77777777" w:rsidR="00D37C4D" w:rsidRPr="00216BDD" w:rsidRDefault="00D37C4D" w:rsidP="00216BDD">
      <w:pPr>
        <w:spacing w:before="10" w:after="10" w:line="240" w:lineRule="auto"/>
        <w:ind w:left="284" w:right="284" w:firstLine="709"/>
        <w:jc w:val="both"/>
        <w:rPr>
          <w:rFonts w:ascii="Times New Roman" w:hAnsi="Times New Roman" w:cs="Times New Roman"/>
          <w:sz w:val="28"/>
          <w:szCs w:val="28"/>
        </w:rPr>
      </w:pPr>
    </w:p>
    <w:p w14:paraId="140793DA" w14:textId="77777777" w:rsidR="00B36F76" w:rsidRDefault="00B36F76" w:rsidP="00B36F76">
      <w:pPr>
        <w:pStyle w:val="ae"/>
        <w:spacing w:before="10" w:after="10" w:line="240" w:lineRule="auto"/>
        <w:ind w:left="284" w:right="284"/>
        <w:jc w:val="both"/>
        <w:rPr>
          <w:b/>
          <w:sz w:val="28"/>
          <w:szCs w:val="28"/>
          <w:lang w:val="uk-UA"/>
        </w:rPr>
      </w:pPr>
      <w:r>
        <w:rPr>
          <w:b/>
          <w:sz w:val="28"/>
          <w:szCs w:val="28"/>
          <w:lang w:val="uk-UA"/>
        </w:rPr>
        <w:t xml:space="preserve">Спеціаліст-юрисконсульт </w:t>
      </w:r>
    </w:p>
    <w:p w14:paraId="33F575D5" w14:textId="77777777" w:rsidR="00B36F76" w:rsidRDefault="00B36F76" w:rsidP="00B36F76">
      <w:pPr>
        <w:pStyle w:val="ae"/>
        <w:spacing w:before="10" w:after="10" w:line="240" w:lineRule="auto"/>
        <w:ind w:left="284" w:right="284"/>
        <w:jc w:val="both"/>
        <w:rPr>
          <w:b/>
          <w:sz w:val="28"/>
          <w:szCs w:val="28"/>
          <w:lang w:val="uk-UA"/>
        </w:rPr>
      </w:pPr>
      <w:r>
        <w:rPr>
          <w:b/>
          <w:sz w:val="28"/>
          <w:szCs w:val="28"/>
          <w:lang w:val="uk-UA"/>
        </w:rPr>
        <w:t xml:space="preserve">Виконавчого комітету </w:t>
      </w:r>
    </w:p>
    <w:p w14:paraId="2C065B85" w14:textId="11CB372C" w:rsidR="00B36F76" w:rsidRDefault="00B36F76" w:rsidP="00B36F76">
      <w:pPr>
        <w:pStyle w:val="ae"/>
        <w:spacing w:before="10" w:after="10" w:line="240" w:lineRule="auto"/>
        <w:ind w:right="284"/>
        <w:jc w:val="both"/>
        <w:rPr>
          <w:b/>
          <w:sz w:val="28"/>
          <w:szCs w:val="28"/>
          <w:lang w:val="uk-UA"/>
        </w:rPr>
      </w:pPr>
      <w:r>
        <w:rPr>
          <w:b/>
          <w:sz w:val="28"/>
          <w:szCs w:val="28"/>
          <w:lang w:val="uk-UA"/>
        </w:rPr>
        <w:t xml:space="preserve">   Люблинецької селищної ради                                  Наталія СУЗІМОВА</w:t>
      </w:r>
    </w:p>
    <w:p w14:paraId="282B7058" w14:textId="77777777" w:rsidR="00B36F76" w:rsidRPr="00B36F76" w:rsidRDefault="00B36F76" w:rsidP="00B36F76">
      <w:pPr>
        <w:pStyle w:val="ae"/>
        <w:ind w:right="28"/>
        <w:jc w:val="both"/>
        <w:rPr>
          <w:b/>
          <w:sz w:val="28"/>
          <w:szCs w:val="28"/>
          <w:lang w:val="uk-UA"/>
        </w:rPr>
      </w:pPr>
    </w:p>
    <w:p w14:paraId="44ED412D" w14:textId="77777777" w:rsidR="00FB1F9F" w:rsidRDefault="00FB1F9F" w:rsidP="008C4370">
      <w:pPr>
        <w:pStyle w:val="ae"/>
        <w:ind w:right="28" w:firstLine="720"/>
        <w:jc w:val="both"/>
        <w:rPr>
          <w:b/>
          <w:sz w:val="28"/>
          <w:szCs w:val="28"/>
          <w:lang w:val="uk-UA"/>
        </w:rPr>
      </w:pPr>
    </w:p>
    <w:p w14:paraId="20D35AEE" w14:textId="77777777" w:rsidR="00FB1F9F" w:rsidRDefault="00FB1F9F" w:rsidP="008C4370">
      <w:pPr>
        <w:pStyle w:val="ae"/>
        <w:ind w:right="28" w:firstLine="720"/>
        <w:jc w:val="both"/>
        <w:rPr>
          <w:b/>
          <w:sz w:val="28"/>
          <w:szCs w:val="28"/>
          <w:lang w:val="uk-UA"/>
        </w:rPr>
      </w:pPr>
    </w:p>
    <w:p w14:paraId="210803F0" w14:textId="77777777" w:rsidR="00FB1F9F" w:rsidRDefault="00FB1F9F" w:rsidP="008C4370">
      <w:pPr>
        <w:pStyle w:val="ae"/>
        <w:ind w:right="28" w:firstLine="720"/>
        <w:jc w:val="both"/>
        <w:rPr>
          <w:b/>
          <w:sz w:val="28"/>
          <w:szCs w:val="28"/>
          <w:lang w:val="uk-UA"/>
        </w:rPr>
      </w:pPr>
    </w:p>
    <w:p w14:paraId="567A12BF" w14:textId="72126BD8" w:rsidR="00032D12" w:rsidRDefault="00032D12" w:rsidP="00D37C4D">
      <w:pPr>
        <w:spacing w:after="0"/>
        <w:ind w:firstLine="709"/>
        <w:jc w:val="both"/>
      </w:pPr>
    </w:p>
    <w:sectPr w:rsidR="00032D1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1"/>
    <w:family w:val="auto"/>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6A7"/>
    <w:multiLevelType w:val="hybridMultilevel"/>
    <w:tmpl w:val="1B6E9B74"/>
    <w:lvl w:ilvl="0" w:tplc="0422000D">
      <w:start w:val="1"/>
      <w:numFmt w:val="bullet"/>
      <w:lvlText w:val=""/>
      <w:lvlJc w:val="left"/>
      <w:pPr>
        <w:ind w:left="772" w:hanging="360"/>
      </w:pPr>
      <w:rPr>
        <w:rFonts w:ascii="Wingdings" w:hAnsi="Wingdings" w:hint="default"/>
      </w:rPr>
    </w:lvl>
    <w:lvl w:ilvl="1" w:tplc="04220003" w:tentative="1">
      <w:start w:val="1"/>
      <w:numFmt w:val="bullet"/>
      <w:lvlText w:val="o"/>
      <w:lvlJc w:val="left"/>
      <w:pPr>
        <w:ind w:left="1492" w:hanging="360"/>
      </w:pPr>
      <w:rPr>
        <w:rFonts w:ascii="Courier New" w:hAnsi="Courier New" w:cs="Courier New" w:hint="default"/>
      </w:rPr>
    </w:lvl>
    <w:lvl w:ilvl="2" w:tplc="04220005" w:tentative="1">
      <w:start w:val="1"/>
      <w:numFmt w:val="bullet"/>
      <w:lvlText w:val=""/>
      <w:lvlJc w:val="left"/>
      <w:pPr>
        <w:ind w:left="2212" w:hanging="360"/>
      </w:pPr>
      <w:rPr>
        <w:rFonts w:ascii="Wingdings" w:hAnsi="Wingdings" w:hint="default"/>
      </w:rPr>
    </w:lvl>
    <w:lvl w:ilvl="3" w:tplc="04220001" w:tentative="1">
      <w:start w:val="1"/>
      <w:numFmt w:val="bullet"/>
      <w:lvlText w:val=""/>
      <w:lvlJc w:val="left"/>
      <w:pPr>
        <w:ind w:left="2932" w:hanging="360"/>
      </w:pPr>
      <w:rPr>
        <w:rFonts w:ascii="Symbol" w:hAnsi="Symbol" w:hint="default"/>
      </w:rPr>
    </w:lvl>
    <w:lvl w:ilvl="4" w:tplc="04220003" w:tentative="1">
      <w:start w:val="1"/>
      <w:numFmt w:val="bullet"/>
      <w:lvlText w:val="o"/>
      <w:lvlJc w:val="left"/>
      <w:pPr>
        <w:ind w:left="3652" w:hanging="360"/>
      </w:pPr>
      <w:rPr>
        <w:rFonts w:ascii="Courier New" w:hAnsi="Courier New" w:cs="Courier New" w:hint="default"/>
      </w:rPr>
    </w:lvl>
    <w:lvl w:ilvl="5" w:tplc="04220005" w:tentative="1">
      <w:start w:val="1"/>
      <w:numFmt w:val="bullet"/>
      <w:lvlText w:val=""/>
      <w:lvlJc w:val="left"/>
      <w:pPr>
        <w:ind w:left="4372" w:hanging="360"/>
      </w:pPr>
      <w:rPr>
        <w:rFonts w:ascii="Wingdings" w:hAnsi="Wingdings" w:hint="default"/>
      </w:rPr>
    </w:lvl>
    <w:lvl w:ilvl="6" w:tplc="04220001" w:tentative="1">
      <w:start w:val="1"/>
      <w:numFmt w:val="bullet"/>
      <w:lvlText w:val=""/>
      <w:lvlJc w:val="left"/>
      <w:pPr>
        <w:ind w:left="5092" w:hanging="360"/>
      </w:pPr>
      <w:rPr>
        <w:rFonts w:ascii="Symbol" w:hAnsi="Symbol" w:hint="default"/>
      </w:rPr>
    </w:lvl>
    <w:lvl w:ilvl="7" w:tplc="04220003" w:tentative="1">
      <w:start w:val="1"/>
      <w:numFmt w:val="bullet"/>
      <w:lvlText w:val="o"/>
      <w:lvlJc w:val="left"/>
      <w:pPr>
        <w:ind w:left="5812" w:hanging="360"/>
      </w:pPr>
      <w:rPr>
        <w:rFonts w:ascii="Courier New" w:hAnsi="Courier New" w:cs="Courier New" w:hint="default"/>
      </w:rPr>
    </w:lvl>
    <w:lvl w:ilvl="8" w:tplc="04220005" w:tentative="1">
      <w:start w:val="1"/>
      <w:numFmt w:val="bullet"/>
      <w:lvlText w:val=""/>
      <w:lvlJc w:val="left"/>
      <w:pPr>
        <w:ind w:left="6532" w:hanging="360"/>
      </w:pPr>
      <w:rPr>
        <w:rFonts w:ascii="Wingdings" w:hAnsi="Wingdings" w:hint="default"/>
      </w:rPr>
    </w:lvl>
  </w:abstractNum>
  <w:abstractNum w:abstractNumId="1" w15:restartNumberingAfterBreak="0">
    <w:nsid w:val="189C605F"/>
    <w:multiLevelType w:val="hybridMultilevel"/>
    <w:tmpl w:val="80BAE10A"/>
    <w:lvl w:ilvl="0" w:tplc="0422000D">
      <w:start w:val="1"/>
      <w:numFmt w:val="bullet"/>
      <w:lvlText w:val=""/>
      <w:lvlJc w:val="left"/>
      <w:pPr>
        <w:ind w:left="1895" w:hanging="360"/>
      </w:pPr>
      <w:rPr>
        <w:rFonts w:ascii="Wingdings" w:hAnsi="Wingdings" w:hint="default"/>
      </w:rPr>
    </w:lvl>
    <w:lvl w:ilvl="1" w:tplc="04220003" w:tentative="1">
      <w:start w:val="1"/>
      <w:numFmt w:val="bullet"/>
      <w:lvlText w:val="o"/>
      <w:lvlJc w:val="left"/>
      <w:pPr>
        <w:ind w:left="2615" w:hanging="360"/>
      </w:pPr>
      <w:rPr>
        <w:rFonts w:ascii="Courier New" w:hAnsi="Courier New" w:cs="Courier New" w:hint="default"/>
      </w:rPr>
    </w:lvl>
    <w:lvl w:ilvl="2" w:tplc="04220005" w:tentative="1">
      <w:start w:val="1"/>
      <w:numFmt w:val="bullet"/>
      <w:lvlText w:val=""/>
      <w:lvlJc w:val="left"/>
      <w:pPr>
        <w:ind w:left="3335" w:hanging="360"/>
      </w:pPr>
      <w:rPr>
        <w:rFonts w:ascii="Wingdings" w:hAnsi="Wingdings" w:hint="default"/>
      </w:rPr>
    </w:lvl>
    <w:lvl w:ilvl="3" w:tplc="04220001" w:tentative="1">
      <w:start w:val="1"/>
      <w:numFmt w:val="bullet"/>
      <w:lvlText w:val=""/>
      <w:lvlJc w:val="left"/>
      <w:pPr>
        <w:ind w:left="4055" w:hanging="360"/>
      </w:pPr>
      <w:rPr>
        <w:rFonts w:ascii="Symbol" w:hAnsi="Symbol" w:hint="default"/>
      </w:rPr>
    </w:lvl>
    <w:lvl w:ilvl="4" w:tplc="04220003" w:tentative="1">
      <w:start w:val="1"/>
      <w:numFmt w:val="bullet"/>
      <w:lvlText w:val="o"/>
      <w:lvlJc w:val="left"/>
      <w:pPr>
        <w:ind w:left="4775" w:hanging="360"/>
      </w:pPr>
      <w:rPr>
        <w:rFonts w:ascii="Courier New" w:hAnsi="Courier New" w:cs="Courier New" w:hint="default"/>
      </w:rPr>
    </w:lvl>
    <w:lvl w:ilvl="5" w:tplc="04220005" w:tentative="1">
      <w:start w:val="1"/>
      <w:numFmt w:val="bullet"/>
      <w:lvlText w:val=""/>
      <w:lvlJc w:val="left"/>
      <w:pPr>
        <w:ind w:left="5495" w:hanging="360"/>
      </w:pPr>
      <w:rPr>
        <w:rFonts w:ascii="Wingdings" w:hAnsi="Wingdings" w:hint="default"/>
      </w:rPr>
    </w:lvl>
    <w:lvl w:ilvl="6" w:tplc="04220001" w:tentative="1">
      <w:start w:val="1"/>
      <w:numFmt w:val="bullet"/>
      <w:lvlText w:val=""/>
      <w:lvlJc w:val="left"/>
      <w:pPr>
        <w:ind w:left="6215" w:hanging="360"/>
      </w:pPr>
      <w:rPr>
        <w:rFonts w:ascii="Symbol" w:hAnsi="Symbol" w:hint="default"/>
      </w:rPr>
    </w:lvl>
    <w:lvl w:ilvl="7" w:tplc="04220003" w:tentative="1">
      <w:start w:val="1"/>
      <w:numFmt w:val="bullet"/>
      <w:lvlText w:val="o"/>
      <w:lvlJc w:val="left"/>
      <w:pPr>
        <w:ind w:left="6935" w:hanging="360"/>
      </w:pPr>
      <w:rPr>
        <w:rFonts w:ascii="Courier New" w:hAnsi="Courier New" w:cs="Courier New" w:hint="default"/>
      </w:rPr>
    </w:lvl>
    <w:lvl w:ilvl="8" w:tplc="04220005" w:tentative="1">
      <w:start w:val="1"/>
      <w:numFmt w:val="bullet"/>
      <w:lvlText w:val=""/>
      <w:lvlJc w:val="left"/>
      <w:pPr>
        <w:ind w:left="7655" w:hanging="360"/>
      </w:pPr>
      <w:rPr>
        <w:rFonts w:ascii="Wingdings" w:hAnsi="Wingdings" w:hint="default"/>
      </w:rPr>
    </w:lvl>
  </w:abstractNum>
  <w:abstractNum w:abstractNumId="2" w15:restartNumberingAfterBreak="0">
    <w:nsid w:val="253C177B"/>
    <w:multiLevelType w:val="hybridMultilevel"/>
    <w:tmpl w:val="FF586360"/>
    <w:lvl w:ilvl="0" w:tplc="0422000D">
      <w:start w:val="1"/>
      <w:numFmt w:val="bullet"/>
      <w:lvlText w:val=""/>
      <w:lvlJc w:val="left"/>
      <w:pPr>
        <w:ind w:left="1895" w:hanging="360"/>
      </w:pPr>
      <w:rPr>
        <w:rFonts w:ascii="Wingdings" w:hAnsi="Wingdings" w:hint="default"/>
      </w:rPr>
    </w:lvl>
    <w:lvl w:ilvl="1" w:tplc="04220003" w:tentative="1">
      <w:start w:val="1"/>
      <w:numFmt w:val="bullet"/>
      <w:lvlText w:val="o"/>
      <w:lvlJc w:val="left"/>
      <w:pPr>
        <w:ind w:left="2615" w:hanging="360"/>
      </w:pPr>
      <w:rPr>
        <w:rFonts w:ascii="Courier New" w:hAnsi="Courier New" w:cs="Courier New" w:hint="default"/>
      </w:rPr>
    </w:lvl>
    <w:lvl w:ilvl="2" w:tplc="04220005" w:tentative="1">
      <w:start w:val="1"/>
      <w:numFmt w:val="bullet"/>
      <w:lvlText w:val=""/>
      <w:lvlJc w:val="left"/>
      <w:pPr>
        <w:ind w:left="3335" w:hanging="360"/>
      </w:pPr>
      <w:rPr>
        <w:rFonts w:ascii="Wingdings" w:hAnsi="Wingdings" w:hint="default"/>
      </w:rPr>
    </w:lvl>
    <w:lvl w:ilvl="3" w:tplc="04220001" w:tentative="1">
      <w:start w:val="1"/>
      <w:numFmt w:val="bullet"/>
      <w:lvlText w:val=""/>
      <w:lvlJc w:val="left"/>
      <w:pPr>
        <w:ind w:left="4055" w:hanging="360"/>
      </w:pPr>
      <w:rPr>
        <w:rFonts w:ascii="Symbol" w:hAnsi="Symbol" w:hint="default"/>
      </w:rPr>
    </w:lvl>
    <w:lvl w:ilvl="4" w:tplc="04220003" w:tentative="1">
      <w:start w:val="1"/>
      <w:numFmt w:val="bullet"/>
      <w:lvlText w:val="o"/>
      <w:lvlJc w:val="left"/>
      <w:pPr>
        <w:ind w:left="4775" w:hanging="360"/>
      </w:pPr>
      <w:rPr>
        <w:rFonts w:ascii="Courier New" w:hAnsi="Courier New" w:cs="Courier New" w:hint="default"/>
      </w:rPr>
    </w:lvl>
    <w:lvl w:ilvl="5" w:tplc="04220005" w:tentative="1">
      <w:start w:val="1"/>
      <w:numFmt w:val="bullet"/>
      <w:lvlText w:val=""/>
      <w:lvlJc w:val="left"/>
      <w:pPr>
        <w:ind w:left="5495" w:hanging="360"/>
      </w:pPr>
      <w:rPr>
        <w:rFonts w:ascii="Wingdings" w:hAnsi="Wingdings" w:hint="default"/>
      </w:rPr>
    </w:lvl>
    <w:lvl w:ilvl="6" w:tplc="04220001" w:tentative="1">
      <w:start w:val="1"/>
      <w:numFmt w:val="bullet"/>
      <w:lvlText w:val=""/>
      <w:lvlJc w:val="left"/>
      <w:pPr>
        <w:ind w:left="6215" w:hanging="360"/>
      </w:pPr>
      <w:rPr>
        <w:rFonts w:ascii="Symbol" w:hAnsi="Symbol" w:hint="default"/>
      </w:rPr>
    </w:lvl>
    <w:lvl w:ilvl="7" w:tplc="04220003" w:tentative="1">
      <w:start w:val="1"/>
      <w:numFmt w:val="bullet"/>
      <w:lvlText w:val="o"/>
      <w:lvlJc w:val="left"/>
      <w:pPr>
        <w:ind w:left="6935" w:hanging="360"/>
      </w:pPr>
      <w:rPr>
        <w:rFonts w:ascii="Courier New" w:hAnsi="Courier New" w:cs="Courier New" w:hint="default"/>
      </w:rPr>
    </w:lvl>
    <w:lvl w:ilvl="8" w:tplc="04220005" w:tentative="1">
      <w:start w:val="1"/>
      <w:numFmt w:val="bullet"/>
      <w:lvlText w:val=""/>
      <w:lvlJc w:val="left"/>
      <w:pPr>
        <w:ind w:left="7655" w:hanging="360"/>
      </w:pPr>
      <w:rPr>
        <w:rFonts w:ascii="Wingdings" w:hAnsi="Wingdings" w:hint="default"/>
      </w:rPr>
    </w:lvl>
  </w:abstractNum>
  <w:abstractNum w:abstractNumId="3" w15:restartNumberingAfterBreak="0">
    <w:nsid w:val="6BB25163"/>
    <w:multiLevelType w:val="multilevel"/>
    <w:tmpl w:val="11206C28"/>
    <w:lvl w:ilvl="0">
      <w:numFmt w:val="bullet"/>
      <w:lvlText w:val="-"/>
      <w:lvlJc w:val="left"/>
      <w:pPr>
        <w:tabs>
          <w:tab w:val="num" w:pos="0"/>
        </w:tabs>
        <w:ind w:left="196" w:hanging="185"/>
      </w:pPr>
      <w:rPr>
        <w:rFonts w:ascii="OpenSymbol" w:hAnsi="OpenSymbol" w:cs="OpenSymbol" w:hint="default"/>
        <w:w w:val="100"/>
        <w:lang w:val="uk-UA" w:eastAsia="en-US" w:bidi="ar-SA"/>
      </w:rPr>
    </w:lvl>
    <w:lvl w:ilvl="1">
      <w:numFmt w:val="bullet"/>
      <w:lvlText w:val=""/>
      <w:lvlJc w:val="left"/>
      <w:pPr>
        <w:tabs>
          <w:tab w:val="num" w:pos="0"/>
        </w:tabs>
        <w:ind w:left="1176" w:hanging="185"/>
      </w:pPr>
      <w:rPr>
        <w:rFonts w:ascii="Symbol" w:hAnsi="Symbol" w:cs="Symbol" w:hint="default"/>
        <w:lang w:val="uk-UA" w:eastAsia="en-US" w:bidi="ar-SA"/>
      </w:rPr>
    </w:lvl>
    <w:lvl w:ilvl="2">
      <w:numFmt w:val="bullet"/>
      <w:lvlText w:val=""/>
      <w:lvlJc w:val="left"/>
      <w:pPr>
        <w:tabs>
          <w:tab w:val="num" w:pos="0"/>
        </w:tabs>
        <w:ind w:left="2153" w:hanging="185"/>
      </w:pPr>
      <w:rPr>
        <w:rFonts w:ascii="Symbol" w:hAnsi="Symbol" w:cs="Symbol" w:hint="default"/>
        <w:lang w:val="uk-UA" w:eastAsia="en-US" w:bidi="ar-SA"/>
      </w:rPr>
    </w:lvl>
    <w:lvl w:ilvl="3">
      <w:numFmt w:val="bullet"/>
      <w:lvlText w:val=""/>
      <w:lvlJc w:val="left"/>
      <w:pPr>
        <w:tabs>
          <w:tab w:val="num" w:pos="0"/>
        </w:tabs>
        <w:ind w:left="3129" w:hanging="185"/>
      </w:pPr>
      <w:rPr>
        <w:rFonts w:ascii="Symbol" w:hAnsi="Symbol" w:cs="Symbol" w:hint="default"/>
        <w:lang w:val="uk-UA" w:eastAsia="en-US" w:bidi="ar-SA"/>
      </w:rPr>
    </w:lvl>
    <w:lvl w:ilvl="4">
      <w:numFmt w:val="bullet"/>
      <w:lvlText w:val=""/>
      <w:lvlJc w:val="left"/>
      <w:pPr>
        <w:tabs>
          <w:tab w:val="num" w:pos="0"/>
        </w:tabs>
        <w:ind w:left="4106" w:hanging="185"/>
      </w:pPr>
      <w:rPr>
        <w:rFonts w:ascii="Symbol" w:hAnsi="Symbol" w:cs="Symbol" w:hint="default"/>
        <w:lang w:val="uk-UA" w:eastAsia="en-US" w:bidi="ar-SA"/>
      </w:rPr>
    </w:lvl>
    <w:lvl w:ilvl="5">
      <w:numFmt w:val="bullet"/>
      <w:lvlText w:val=""/>
      <w:lvlJc w:val="left"/>
      <w:pPr>
        <w:tabs>
          <w:tab w:val="num" w:pos="0"/>
        </w:tabs>
        <w:ind w:left="5083" w:hanging="185"/>
      </w:pPr>
      <w:rPr>
        <w:rFonts w:ascii="Symbol" w:hAnsi="Symbol" w:cs="Symbol" w:hint="default"/>
        <w:lang w:val="uk-UA" w:eastAsia="en-US" w:bidi="ar-SA"/>
      </w:rPr>
    </w:lvl>
    <w:lvl w:ilvl="6">
      <w:numFmt w:val="bullet"/>
      <w:lvlText w:val=""/>
      <w:lvlJc w:val="left"/>
      <w:pPr>
        <w:tabs>
          <w:tab w:val="num" w:pos="0"/>
        </w:tabs>
        <w:ind w:left="6059" w:hanging="185"/>
      </w:pPr>
      <w:rPr>
        <w:rFonts w:ascii="Symbol" w:hAnsi="Symbol" w:cs="Symbol" w:hint="default"/>
        <w:lang w:val="uk-UA" w:eastAsia="en-US" w:bidi="ar-SA"/>
      </w:rPr>
    </w:lvl>
    <w:lvl w:ilvl="7">
      <w:numFmt w:val="bullet"/>
      <w:lvlText w:val=""/>
      <w:lvlJc w:val="left"/>
      <w:pPr>
        <w:tabs>
          <w:tab w:val="num" w:pos="0"/>
        </w:tabs>
        <w:ind w:left="7036" w:hanging="185"/>
      </w:pPr>
      <w:rPr>
        <w:rFonts w:ascii="Symbol" w:hAnsi="Symbol" w:cs="Symbol" w:hint="default"/>
        <w:lang w:val="uk-UA" w:eastAsia="en-US" w:bidi="ar-SA"/>
      </w:rPr>
    </w:lvl>
    <w:lvl w:ilvl="8">
      <w:numFmt w:val="bullet"/>
      <w:lvlText w:val=""/>
      <w:lvlJc w:val="left"/>
      <w:pPr>
        <w:tabs>
          <w:tab w:val="num" w:pos="0"/>
        </w:tabs>
        <w:ind w:left="8013" w:hanging="185"/>
      </w:pPr>
      <w:rPr>
        <w:rFonts w:ascii="Symbol" w:hAnsi="Symbol" w:cs="Symbol" w:hint="default"/>
        <w:lang w:val="uk-UA" w:eastAsia="en-US" w:bidi="ar-SA"/>
      </w:rPr>
    </w:lvl>
  </w:abstractNum>
  <w:num w:numId="1" w16cid:durableId="315257580">
    <w:abstractNumId w:val="1"/>
  </w:num>
  <w:num w:numId="2" w16cid:durableId="1010179943">
    <w:abstractNumId w:val="2"/>
  </w:num>
  <w:num w:numId="3" w16cid:durableId="1113481873">
    <w:abstractNumId w:val="0"/>
  </w:num>
  <w:num w:numId="4" w16cid:durableId="1820876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E1"/>
    <w:rsid w:val="00032D12"/>
    <w:rsid w:val="00040C9D"/>
    <w:rsid w:val="000B44C6"/>
    <w:rsid w:val="000D2AB7"/>
    <w:rsid w:val="000D32DD"/>
    <w:rsid w:val="000E4990"/>
    <w:rsid w:val="00130894"/>
    <w:rsid w:val="001375B7"/>
    <w:rsid w:val="001503F0"/>
    <w:rsid w:val="00216BDD"/>
    <w:rsid w:val="00222556"/>
    <w:rsid w:val="00241857"/>
    <w:rsid w:val="002713AD"/>
    <w:rsid w:val="002B66A5"/>
    <w:rsid w:val="002E535F"/>
    <w:rsid w:val="003102E5"/>
    <w:rsid w:val="00311234"/>
    <w:rsid w:val="003A2DCE"/>
    <w:rsid w:val="003A5956"/>
    <w:rsid w:val="003C31B5"/>
    <w:rsid w:val="0040277E"/>
    <w:rsid w:val="005057B0"/>
    <w:rsid w:val="005616BB"/>
    <w:rsid w:val="00577339"/>
    <w:rsid w:val="0058073F"/>
    <w:rsid w:val="00603C3A"/>
    <w:rsid w:val="006179D2"/>
    <w:rsid w:val="006A07FC"/>
    <w:rsid w:val="006A4A29"/>
    <w:rsid w:val="006B7911"/>
    <w:rsid w:val="006C0B77"/>
    <w:rsid w:val="00750A31"/>
    <w:rsid w:val="00765135"/>
    <w:rsid w:val="00771A98"/>
    <w:rsid w:val="007735B2"/>
    <w:rsid w:val="007E4DFE"/>
    <w:rsid w:val="007E690C"/>
    <w:rsid w:val="008116CB"/>
    <w:rsid w:val="008242FF"/>
    <w:rsid w:val="00834880"/>
    <w:rsid w:val="00870751"/>
    <w:rsid w:val="008C4370"/>
    <w:rsid w:val="00922C48"/>
    <w:rsid w:val="009E54D4"/>
    <w:rsid w:val="00A83484"/>
    <w:rsid w:val="00AA6047"/>
    <w:rsid w:val="00B36F76"/>
    <w:rsid w:val="00B46F4F"/>
    <w:rsid w:val="00B6481C"/>
    <w:rsid w:val="00B915B7"/>
    <w:rsid w:val="00BC24BA"/>
    <w:rsid w:val="00C3496E"/>
    <w:rsid w:val="00C46AB6"/>
    <w:rsid w:val="00C92072"/>
    <w:rsid w:val="00CB53EA"/>
    <w:rsid w:val="00D253A8"/>
    <w:rsid w:val="00D37C4D"/>
    <w:rsid w:val="00D72B57"/>
    <w:rsid w:val="00E76620"/>
    <w:rsid w:val="00E85519"/>
    <w:rsid w:val="00E87FD2"/>
    <w:rsid w:val="00EA59DF"/>
    <w:rsid w:val="00EC45D4"/>
    <w:rsid w:val="00EE4070"/>
    <w:rsid w:val="00EE65E1"/>
    <w:rsid w:val="00F12C76"/>
    <w:rsid w:val="00FA1D60"/>
    <w:rsid w:val="00FB1F9F"/>
    <w:rsid w:val="00FB2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0FA9"/>
  <w15:chartTrackingRefBased/>
  <w15:docId w15:val="{D7ED1771-BE0F-470F-94E9-F1EF1D81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C4D"/>
    <w:pPr>
      <w:suppressAutoHyphens/>
    </w:pPr>
    <w:rPr>
      <w:kern w:val="0"/>
      <w:lang w:val="uk-UA"/>
      <w14:ligatures w14:val="none"/>
    </w:rPr>
  </w:style>
  <w:style w:type="paragraph" w:styleId="1">
    <w:name w:val="heading 1"/>
    <w:basedOn w:val="a"/>
    <w:next w:val="a"/>
    <w:link w:val="10"/>
    <w:uiPriority w:val="9"/>
    <w:qFormat/>
    <w:rsid w:val="00EE65E1"/>
    <w:pPr>
      <w:keepNext/>
      <w:keepLines/>
      <w:suppressAutoHyphens w:val="0"/>
      <w:spacing w:before="360" w:after="80" w:line="240" w:lineRule="auto"/>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EE65E1"/>
    <w:pPr>
      <w:keepNext/>
      <w:keepLines/>
      <w:suppressAutoHyphens w:val="0"/>
      <w:spacing w:before="160" w:after="80" w:line="240" w:lineRule="auto"/>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EE65E1"/>
    <w:pPr>
      <w:keepNext/>
      <w:keepLines/>
      <w:suppressAutoHyphens w:val="0"/>
      <w:spacing w:before="160" w:after="80" w:line="240" w:lineRule="auto"/>
      <w:outlineLvl w:val="2"/>
    </w:pPr>
    <w:rPr>
      <w:rFonts w:eastAsiaTheme="majorEastAsia" w:cstheme="majorBidi"/>
      <w:color w:val="2F5496"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EE65E1"/>
    <w:pPr>
      <w:keepNext/>
      <w:keepLines/>
      <w:suppressAutoHyphens w:val="0"/>
      <w:spacing w:before="80" w:after="40" w:line="240" w:lineRule="auto"/>
      <w:outlineLvl w:val="3"/>
    </w:pPr>
    <w:rPr>
      <w:rFonts w:eastAsiaTheme="majorEastAsia" w:cstheme="majorBidi"/>
      <w:i/>
      <w:iCs/>
      <w:color w:val="2F5496"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EE65E1"/>
    <w:pPr>
      <w:keepNext/>
      <w:keepLines/>
      <w:suppressAutoHyphens w:val="0"/>
      <w:spacing w:before="80" w:after="40" w:line="240" w:lineRule="auto"/>
      <w:outlineLvl w:val="4"/>
    </w:pPr>
    <w:rPr>
      <w:rFonts w:eastAsiaTheme="majorEastAsia" w:cstheme="majorBidi"/>
      <w:color w:val="2F5496"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EE65E1"/>
    <w:pPr>
      <w:keepNext/>
      <w:keepLines/>
      <w:suppressAutoHyphens w:val="0"/>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EE65E1"/>
    <w:pPr>
      <w:keepNext/>
      <w:keepLines/>
      <w:suppressAutoHyphens w:val="0"/>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EE65E1"/>
    <w:pPr>
      <w:keepNext/>
      <w:keepLines/>
      <w:suppressAutoHyphens w:val="0"/>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EE65E1"/>
    <w:pPr>
      <w:keepNext/>
      <w:keepLines/>
      <w:suppressAutoHyphens w:val="0"/>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5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E65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E65E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65E1"/>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E65E1"/>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E65E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E65E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E65E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E65E1"/>
    <w:rPr>
      <w:rFonts w:eastAsiaTheme="majorEastAsia" w:cstheme="majorBidi"/>
      <w:color w:val="272727" w:themeColor="text1" w:themeTint="D8"/>
      <w:sz w:val="28"/>
    </w:rPr>
  </w:style>
  <w:style w:type="paragraph" w:styleId="a3">
    <w:name w:val="Title"/>
    <w:basedOn w:val="a"/>
    <w:next w:val="a"/>
    <w:link w:val="a4"/>
    <w:uiPriority w:val="10"/>
    <w:qFormat/>
    <w:rsid w:val="00EE65E1"/>
    <w:pPr>
      <w:suppressAutoHyphens w:val="0"/>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EE65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5E1"/>
    <w:pPr>
      <w:numPr>
        <w:ilvl w:val="1"/>
      </w:numPr>
      <w:suppressAutoHyphens w:val="0"/>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EE65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65E1"/>
    <w:pPr>
      <w:suppressAutoHyphens w:val="0"/>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EE65E1"/>
    <w:rPr>
      <w:rFonts w:ascii="Times New Roman" w:hAnsi="Times New Roman"/>
      <w:i/>
      <w:iCs/>
      <w:color w:val="404040" w:themeColor="text1" w:themeTint="BF"/>
      <w:sz w:val="28"/>
    </w:rPr>
  </w:style>
  <w:style w:type="paragraph" w:styleId="a7">
    <w:name w:val="List Paragraph"/>
    <w:basedOn w:val="a"/>
    <w:uiPriority w:val="1"/>
    <w:qFormat/>
    <w:rsid w:val="00EE65E1"/>
    <w:pPr>
      <w:suppressAutoHyphens w:val="0"/>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EE65E1"/>
    <w:rPr>
      <w:i/>
      <w:iCs/>
      <w:color w:val="2F5496" w:themeColor="accent1" w:themeShade="BF"/>
    </w:rPr>
  </w:style>
  <w:style w:type="paragraph" w:styleId="a9">
    <w:name w:val="Intense Quote"/>
    <w:basedOn w:val="a"/>
    <w:next w:val="a"/>
    <w:link w:val="aa"/>
    <w:uiPriority w:val="30"/>
    <w:qFormat/>
    <w:rsid w:val="00EE65E1"/>
    <w:pPr>
      <w:pBdr>
        <w:top w:val="single" w:sz="4" w:space="10" w:color="2F5496" w:themeColor="accent1" w:themeShade="BF"/>
        <w:bottom w:val="single" w:sz="4" w:space="10" w:color="2F5496" w:themeColor="accent1" w:themeShade="BF"/>
      </w:pBdr>
      <w:suppressAutoHyphens w:val="0"/>
      <w:spacing w:before="360" w:after="360" w:line="240" w:lineRule="auto"/>
      <w:ind w:left="864" w:right="864"/>
      <w:jc w:val="center"/>
    </w:pPr>
    <w:rPr>
      <w:rFonts w:ascii="Times New Roman" w:hAnsi="Times New Roman"/>
      <w:i/>
      <w:iCs/>
      <w:color w:val="2F5496"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EE65E1"/>
    <w:rPr>
      <w:rFonts w:ascii="Times New Roman" w:hAnsi="Times New Roman"/>
      <w:i/>
      <w:iCs/>
      <w:color w:val="2F5496" w:themeColor="accent1" w:themeShade="BF"/>
      <w:sz w:val="28"/>
    </w:rPr>
  </w:style>
  <w:style w:type="character" w:styleId="ab">
    <w:name w:val="Intense Reference"/>
    <w:basedOn w:val="a0"/>
    <w:uiPriority w:val="32"/>
    <w:qFormat/>
    <w:rsid w:val="00EE65E1"/>
    <w:rPr>
      <w:b/>
      <w:bCs/>
      <w:smallCaps/>
      <w:color w:val="2F5496" w:themeColor="accent1" w:themeShade="BF"/>
      <w:spacing w:val="5"/>
    </w:rPr>
  </w:style>
  <w:style w:type="character" w:styleId="ac">
    <w:name w:val="Strong"/>
    <w:basedOn w:val="a0"/>
    <w:qFormat/>
    <w:rsid w:val="00D37C4D"/>
    <w:rPr>
      <w:b/>
      <w:bCs/>
    </w:rPr>
  </w:style>
  <w:style w:type="character" w:customStyle="1" w:styleId="ad">
    <w:name w:val="Основной текст Знак"/>
    <w:basedOn w:val="a0"/>
    <w:link w:val="ae"/>
    <w:qFormat/>
    <w:rsid w:val="00D37C4D"/>
    <w:rPr>
      <w:rFonts w:ascii="Times New Roman" w:eastAsia="Times New Roman" w:hAnsi="Times New Roman" w:cs="Times New Roman"/>
      <w:sz w:val="24"/>
      <w:szCs w:val="24"/>
      <w:lang w:eastAsia="zh-CN"/>
    </w:rPr>
  </w:style>
  <w:style w:type="paragraph" w:styleId="ae">
    <w:name w:val="Body Text"/>
    <w:basedOn w:val="a"/>
    <w:link w:val="ad"/>
    <w:rsid w:val="00D37C4D"/>
    <w:pPr>
      <w:spacing w:after="140" w:line="276" w:lineRule="auto"/>
    </w:pPr>
    <w:rPr>
      <w:rFonts w:ascii="Times New Roman" w:eastAsia="Times New Roman" w:hAnsi="Times New Roman" w:cs="Times New Roman"/>
      <w:kern w:val="2"/>
      <w:sz w:val="24"/>
      <w:szCs w:val="24"/>
      <w:lang w:val="ru-RU" w:eastAsia="zh-CN"/>
      <w14:ligatures w14:val="standardContextual"/>
    </w:rPr>
  </w:style>
  <w:style w:type="character" w:customStyle="1" w:styleId="11">
    <w:name w:val="Основной текст Знак1"/>
    <w:basedOn w:val="a0"/>
    <w:uiPriority w:val="99"/>
    <w:semiHidden/>
    <w:rsid w:val="00D37C4D"/>
    <w:rPr>
      <w:kern w:val="0"/>
      <w:lang w:val="uk-UA"/>
      <w14:ligatures w14:val="none"/>
    </w:rPr>
  </w:style>
  <w:style w:type="paragraph" w:customStyle="1" w:styleId="TableParagraph">
    <w:name w:val="Table Paragraph"/>
    <w:basedOn w:val="a"/>
    <w:uiPriority w:val="1"/>
    <w:qFormat/>
    <w:rsid w:val="00FA1D60"/>
    <w:pPr>
      <w:widowControl w:val="0"/>
      <w:suppressAutoHyphens w:val="0"/>
      <w:autoSpaceDE w:val="0"/>
      <w:autoSpaceDN w:val="0"/>
      <w:spacing w:after="0" w:line="240" w:lineRule="auto"/>
      <w:ind w:left="52"/>
    </w:pPr>
    <w:rPr>
      <w:rFonts w:ascii="Times New Roman" w:eastAsia="Times New Roman" w:hAnsi="Times New Roman" w:cs="Times New Roman"/>
    </w:rPr>
  </w:style>
  <w:style w:type="paragraph" w:customStyle="1" w:styleId="rvps2">
    <w:name w:val="rvps2"/>
    <w:basedOn w:val="a"/>
    <w:rsid w:val="008C4370"/>
    <w:pPr>
      <w:suppressAutoHyphens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8C4370"/>
    <w:pPr>
      <w:autoSpaceDE w:val="0"/>
      <w:autoSpaceDN w:val="0"/>
      <w:adjustRightInd w:val="0"/>
      <w:spacing w:after="0" w:line="240" w:lineRule="auto"/>
    </w:pPr>
    <w:rPr>
      <w:rFonts w:ascii="Times New Roman" w:hAnsi="Times New Roman" w:cs="Times New Roman"/>
      <w:color w:val="000000"/>
      <w:kern w:val="0"/>
      <w:sz w:val="24"/>
      <w:szCs w:val="24"/>
      <w:lang w:val="uk-UA"/>
      <w14:ligatures w14:val="none"/>
    </w:rPr>
  </w:style>
  <w:style w:type="table" w:customStyle="1" w:styleId="TableNormal">
    <w:name w:val="Table Normal"/>
    <w:uiPriority w:val="2"/>
    <w:semiHidden/>
    <w:unhideWhenUsed/>
    <w:qFormat/>
    <w:rsid w:val="00032D1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17</Pages>
  <Words>3836</Words>
  <Characters>21868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15</cp:revision>
  <cp:lastPrinted>2025-10-06T13:32:00Z</cp:lastPrinted>
  <dcterms:created xsi:type="dcterms:W3CDTF">2025-09-11T13:43:00Z</dcterms:created>
  <dcterms:modified xsi:type="dcterms:W3CDTF">2025-11-17T11:37:00Z</dcterms:modified>
</cp:coreProperties>
</file>