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C3C39" w:rsidRPr="003A15E5" w:rsidRDefault="001C3C39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962"/>
        <w:gridCol w:w="3850"/>
        <w:gridCol w:w="878"/>
        <w:gridCol w:w="850"/>
        <w:gridCol w:w="1815"/>
      </w:tblGrid>
      <w:tr w:rsidR="00600AEC" w:rsidTr="001F5127">
        <w:trPr>
          <w:trHeight w:val="84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Найменування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опис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товару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Характеристика товару</w:t>
            </w:r>
          </w:p>
          <w:p w:rsidR="00600AEC" w:rsidRDefault="00600AEC" w:rsidP="001F5127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Кіль</w:t>
            </w:r>
            <w:proofErr w:type="spellEnd"/>
          </w:p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кість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Один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ДК 021:2015</w:t>
            </w:r>
          </w:p>
        </w:tc>
      </w:tr>
      <w:tr w:rsidR="00600AEC" w:rsidTr="001F5127">
        <w:trPr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Pr="009C48B4" w:rsidRDefault="00600AEC" w:rsidP="001F51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Томатна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паста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Pr="00AA49CC" w:rsidRDefault="00600AEC" w:rsidP="001F5127">
            <w:pPr>
              <w:tabs>
                <w:tab w:val="left" w:pos="900"/>
              </w:tabs>
              <w:spacing w:line="256" w:lineRule="auto"/>
              <w:jc w:val="both"/>
              <w:rPr>
                <w:rStyle w:val="a4"/>
                <w:b w:val="0"/>
                <w:sz w:val="16"/>
                <w:szCs w:val="16"/>
              </w:rPr>
            </w:pP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Виготовлена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зі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стиглих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томатів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шляхом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їх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розроблення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підігріву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протирання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та </w:t>
            </w:r>
            <w:proofErr w:type="spellStart"/>
            <w:proofErr w:type="gram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уварювання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до</w:t>
            </w:r>
            <w:proofErr w:type="gram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визначеного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змісту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сухих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речовин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Зовнішній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вигляд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та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консистенція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–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однорідна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концентрована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маса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без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темних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включень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залишків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шкірки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насіння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та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інших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грубих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частинок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плодів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Колір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–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червоний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яскраво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виражений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рівномірний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всій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масі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Смак та запах –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властиві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концентрованої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томатної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маси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без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гіркоти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пригару та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інших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сторонніх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присмаку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та </w:t>
            </w:r>
            <w:proofErr w:type="gram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запаху, 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фасування</w:t>
            </w:r>
            <w:proofErr w:type="spellEnd"/>
            <w:proofErr w:type="gram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у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скло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банках 0,5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літра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герметично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закупорені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стерилізовані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пастеризованим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комбінованим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способом.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Кришки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повинні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бути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увігнутими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або</w:t>
            </w:r>
            <w:proofErr w:type="spellEnd"/>
            <w:r w:rsidRPr="00AA49C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плоскими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Pr="00496020" w:rsidRDefault="00600AEC" w:rsidP="001F5127">
            <w:pPr>
              <w:tabs>
                <w:tab w:val="center" w:pos="4153"/>
                <w:tab w:val="right" w:pos="8306"/>
              </w:tabs>
              <w:suppressAutoHyphens/>
              <w:ind w:left="80" w:hanging="20"/>
              <w:jc w:val="center"/>
              <w:rPr>
                <w:rFonts w:ascii="Times New Roman" w:hAnsi="Times New Roman" w:cs="Times New Roman"/>
                <w:color w:val="12121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53EE">
              <w:rPr>
                <w:color w:val="000000"/>
                <w:sz w:val="20"/>
                <w:szCs w:val="20"/>
              </w:rPr>
              <w:t>15330000-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Оброблені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овочі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фрукти</w:t>
            </w:r>
            <w:proofErr w:type="spellEnd"/>
          </w:p>
        </w:tc>
      </w:tr>
      <w:tr w:rsidR="00600AEC" w:rsidTr="001F5127">
        <w:trPr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Капуста квашена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D7257F" w:rsidRDefault="00600AEC" w:rsidP="001F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Товар повинен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відповідати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ДСТУ 8642:2016.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Зовнішній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вигляд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рівномірно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нашаткована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смужками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або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нарізана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без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крупних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частинок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Овочеві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плодоовочеві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компоненти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прянощі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рівномірно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розподілені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квашеній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капусті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. Запах: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ароматний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характерний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квашеної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капусти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. Смак: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кислувато-солонуватий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приємний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, без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гіркоти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. Смак соку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більш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гострий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ніж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смак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квашеної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капусти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без соку;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сік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насичений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ароматом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капусти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Колір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світло-солом’яний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з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жовтуватим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відтінком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Консистенція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соковита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щільна</w:t>
            </w:r>
            <w:proofErr w:type="spellEnd"/>
            <w:r w:rsidRPr="00D7257F">
              <w:rPr>
                <w:rFonts w:ascii="Times New Roman" w:hAnsi="Times New Roman" w:cs="Times New Roman"/>
                <w:sz w:val="16"/>
                <w:szCs w:val="16"/>
              </w:rPr>
              <w:t>, хрустка.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tabs>
                <w:tab w:val="center" w:pos="4153"/>
                <w:tab w:val="right" w:pos="8306"/>
              </w:tabs>
              <w:suppressAutoHyphens/>
              <w:ind w:left="80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15330000-0 </w:t>
            </w:r>
            <w:proofErr w:type="spellStart"/>
            <w:r>
              <w:rPr>
                <w:color w:val="000000"/>
                <w:sz w:val="20"/>
                <w:szCs w:val="20"/>
              </w:rPr>
              <w:t>Оброблені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овочі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фрукти</w:t>
            </w:r>
            <w:proofErr w:type="spellEnd"/>
          </w:p>
        </w:tc>
      </w:tr>
      <w:tr w:rsidR="00600AEC" w:rsidTr="001F5127">
        <w:trPr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Огірки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квашені</w:t>
            </w:r>
            <w:proofErr w:type="spellEnd"/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FA47E7" w:rsidRDefault="00600AEC" w:rsidP="001F5127">
            <w:pPr>
              <w:tabs>
                <w:tab w:val="left" w:leader="hyphen" w:pos="220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highlight w:val="white"/>
              </w:rPr>
            </w:pP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Огірки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кваше</w:t>
            </w:r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першого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сорту,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середнього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розміру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цілі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без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плодоніжок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нем’яті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незморщені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без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механічних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пошкоджень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Огірки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пружні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з хрусткою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м’якоттю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повністю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просочені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розсолом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Смак та запах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характерний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для квашеного продукту.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Маркування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державною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мовою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згідно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з ДСТУ. На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кожній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одиниці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фасування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повинна бути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наступна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інформація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назва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харчового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продукту,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назва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та адреса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підприємства-виробника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вага нетто, склад, дата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виготовлення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термін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придатності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умови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зберігання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про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харчову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енергетичну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цінність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Без ГМО,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що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має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бути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зазначено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упаковці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Огірки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закриті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в тару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промислового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FA47E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по 3,5 кг.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tabs>
                <w:tab w:val="center" w:pos="4153"/>
                <w:tab w:val="right" w:pos="8306"/>
              </w:tabs>
              <w:suppressAutoHyphens/>
              <w:ind w:left="80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15330000-0 </w:t>
            </w:r>
            <w:proofErr w:type="spellStart"/>
            <w:r>
              <w:rPr>
                <w:color w:val="000000"/>
                <w:sz w:val="20"/>
                <w:szCs w:val="20"/>
              </w:rPr>
              <w:t>Оброблені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овочі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фрукти</w:t>
            </w:r>
            <w:proofErr w:type="spellEnd"/>
          </w:p>
        </w:tc>
      </w:tr>
      <w:tr w:rsidR="00600AEC" w:rsidTr="001F5127">
        <w:trPr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9C48B4" w:rsidRDefault="00600AEC" w:rsidP="001F51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48B4">
              <w:rPr>
                <w:rFonts w:ascii="Times New Roman" w:hAnsi="Times New Roman" w:cs="Times New Roman"/>
                <w:bCs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хофрукти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компотна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суміш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AA49CC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Сухофрукти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врожаю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2023</w:t>
            </w:r>
            <w:r w:rsidRPr="00AA49CC">
              <w:rPr>
                <w:color w:val="000000"/>
                <w:sz w:val="16"/>
                <w:szCs w:val="16"/>
              </w:rPr>
              <w:t xml:space="preserve"> року,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вітчизняні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Повинні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бути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еластичними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ламкими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злипатися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при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стисканні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Колір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кремового до коричневого. Смак та запах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що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притаманні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фруктам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даного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виду,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стороннього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смаку та запаху,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ознак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цвілі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затхлості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запах та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колір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відповідають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даному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асортименту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сушених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ягід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допускаються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мінеральні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домішки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метало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домішки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гнилі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плоди,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горілі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відходи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шкідники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їх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личинки, ляльки,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ознаки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спиртового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бродіння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плісняви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Розфасовані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поліпропіленові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мішки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етикеткою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або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картонні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ящики. 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кожній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упаковці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На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кожній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одиниці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фасування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повинна бути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наступна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інформація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назва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харчового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продукту,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назва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та адреса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підприємства-виробника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вага нетто, склад, дата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виготовлення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термін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придатності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умови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дані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про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харчову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енергетичну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цінність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Без ГМО,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що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має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бути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зазначено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упаковці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вимогам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діючого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санітарного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законодавства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України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обов`язкова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Товар повинен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відповідати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вимогам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чинних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стандартів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ДСТУ 8494:2015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або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еквівалент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tabs>
                <w:tab w:val="center" w:pos="4153"/>
                <w:tab w:val="right" w:pos="8306"/>
              </w:tabs>
              <w:suppressAutoHyphens/>
              <w:ind w:left="80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53EE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330000-0</w:t>
            </w:r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Оброблені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овочі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фрукти</w:t>
            </w:r>
            <w:proofErr w:type="spellEnd"/>
          </w:p>
        </w:tc>
      </w:tr>
      <w:tr w:rsidR="00600AEC" w:rsidTr="001F5127">
        <w:trPr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9C48B4" w:rsidRDefault="00600AEC" w:rsidP="001F51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Родзинки</w:t>
            </w:r>
            <w:proofErr w:type="spellEnd"/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AA49CC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AA49CC">
              <w:rPr>
                <w:color w:val="000000"/>
                <w:sz w:val="16"/>
                <w:szCs w:val="16"/>
              </w:rPr>
              <w:t>Родзинки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повинні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бути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кісточок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Зовнішній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вид –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маса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ягід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сушеного винограду одного виду,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сипуча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грудкування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Вагові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стороннього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запаху,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шкідників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признаків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гнилі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Ягоди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після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lastRenderedPageBreak/>
              <w:t>заводської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обробки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плодоніжок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Сушені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повинні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бути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еластичними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ламкими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злипатися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при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стисненні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Запах та смак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сушених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приємні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властиві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даному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виду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стороннього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присмаку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або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запаху (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диму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затхлості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кислого запаху і </w:t>
            </w:r>
            <w:proofErr w:type="spellStart"/>
            <w:proofErr w:type="gramStart"/>
            <w:r w:rsidRPr="00AA49CC">
              <w:rPr>
                <w:color w:val="000000"/>
                <w:sz w:val="16"/>
                <w:szCs w:val="16"/>
              </w:rPr>
              <w:t>т.п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AA49CC">
              <w:rPr>
                <w:color w:val="000000"/>
                <w:sz w:val="16"/>
                <w:szCs w:val="16"/>
              </w:rPr>
              <w:t xml:space="preserve">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допускаються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сушені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забруднені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загнивши,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запліснявілі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уражені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шкідниками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сторонніми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запахом, смаком і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домішками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Термін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придатності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товару на момент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постачання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менш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80% до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дати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завершення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терміну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придатності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відповідним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тарі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Якість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продукції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повинна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відповідати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діючим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на момент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проведення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закупівель ДСТУ, ГОСТ, ТУ.У, ТУ та/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або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іншим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нормативним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документам.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вимогам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діючого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санітарного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законодавства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України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нормам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харчування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Обов’язкова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наявність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посвідчення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про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якість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tabs>
                <w:tab w:val="center" w:pos="4153"/>
                <w:tab w:val="right" w:pos="8306"/>
              </w:tabs>
              <w:suppressAutoHyphens/>
              <w:ind w:left="80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53EE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330000-0</w:t>
            </w:r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Оброблені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овочі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фрукти</w:t>
            </w:r>
            <w:proofErr w:type="spellEnd"/>
          </w:p>
        </w:tc>
      </w:tr>
      <w:tr w:rsidR="00600AEC" w:rsidTr="001F5127">
        <w:trPr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9C48B4" w:rsidRDefault="00600AEC" w:rsidP="001F51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Чорнослив</w:t>
            </w:r>
            <w:proofErr w:type="spellEnd"/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AA49CC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406B5">
              <w:rPr>
                <w:rFonts w:eastAsia="Calibri"/>
                <w:sz w:val="16"/>
                <w:szCs w:val="16"/>
              </w:rPr>
              <w:t>Плоди (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чорнослив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)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цілі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, без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кісточки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м’ясисті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однорідного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, глянцевого,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чорного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кольору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, з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приємним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кислуватим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 смаком, без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домішок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, без </w:t>
            </w:r>
            <w:proofErr w:type="spellStart"/>
            <w:r w:rsidRPr="006406B5">
              <w:rPr>
                <w:rFonts w:eastAsia="Calibri"/>
                <w:sz w:val="16"/>
                <w:szCs w:val="16"/>
              </w:rPr>
              <w:t>пошкоджень</w:t>
            </w:r>
            <w:proofErr w:type="spellEnd"/>
            <w:r w:rsidRPr="006406B5">
              <w:rPr>
                <w:rFonts w:eastAsia="Calibri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Сушені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повинні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бути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еластичними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ламкими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злипатися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при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стисненні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Запах та смак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сушених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приємні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властиві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даному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виду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фруктів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без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</w:t>
            </w:r>
            <w:r>
              <w:rPr>
                <w:color w:val="000000"/>
                <w:sz w:val="16"/>
                <w:szCs w:val="16"/>
              </w:rPr>
              <w:t>ороннього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присмаку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або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запаху (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затхлості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кислого запаху і </w:t>
            </w:r>
            <w:proofErr w:type="spellStart"/>
            <w:proofErr w:type="gramStart"/>
            <w:r w:rsidRPr="00AA49CC">
              <w:rPr>
                <w:color w:val="000000"/>
                <w:sz w:val="16"/>
                <w:szCs w:val="16"/>
              </w:rPr>
              <w:t>т.п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AA49CC">
              <w:rPr>
                <w:color w:val="000000"/>
                <w:sz w:val="16"/>
                <w:szCs w:val="16"/>
              </w:rPr>
              <w:t xml:space="preserve">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допускаються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сушені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фрукти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забруднені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загнивши,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запліснявілі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уражені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шкідниками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сторонніми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запахом, смаком і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домішками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Термін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придатності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товару на момент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постачання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не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менш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80% до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дати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завершення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терміну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придатності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відповідним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тарі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Якість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продукції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повинна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відповідати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діючим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на момент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проведення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закупівель ДСТУ, ГОСТ, ТУ.У, ТУ та/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або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іншим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нормативним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документам.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вимогам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діючого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санітарного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законодавства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України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, нормам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харчування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Обов’язкова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наявність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посвідчення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 xml:space="preserve"> про </w:t>
            </w:r>
            <w:proofErr w:type="spellStart"/>
            <w:r w:rsidRPr="00AA49CC">
              <w:rPr>
                <w:color w:val="000000"/>
                <w:sz w:val="16"/>
                <w:szCs w:val="16"/>
              </w:rPr>
              <w:t>якість</w:t>
            </w:r>
            <w:proofErr w:type="spellEnd"/>
            <w:r w:rsidRPr="00AA49C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tabs>
                <w:tab w:val="center" w:pos="4153"/>
                <w:tab w:val="right" w:pos="8306"/>
              </w:tabs>
              <w:suppressAutoHyphens/>
              <w:ind w:left="80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Default="00600AEC" w:rsidP="001F512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0AEC" w:rsidRPr="00BC53EE" w:rsidRDefault="00600AEC" w:rsidP="001F512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53EE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330000-0</w:t>
            </w:r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Оброблені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овочі</w:t>
            </w:r>
            <w:proofErr w:type="spellEnd"/>
            <w:r w:rsidRPr="00BC53EE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C53EE">
              <w:rPr>
                <w:color w:val="000000"/>
                <w:sz w:val="20"/>
                <w:szCs w:val="20"/>
              </w:rPr>
              <w:t>фрукти</w:t>
            </w:r>
            <w:proofErr w:type="spellEnd"/>
          </w:p>
        </w:tc>
      </w:tr>
    </w:tbl>
    <w:p w:rsidR="00600AEC" w:rsidRDefault="00600AE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(яйця)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документ  про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)  та/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печаткою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proofErr w:type="spellStart"/>
      <w:r w:rsidR="00304BDE" w:rsidRPr="001C3C39">
        <w:rPr>
          <w:color w:val="000000" w:themeColor="text1"/>
        </w:rPr>
        <w:t>Очікувана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вартість</w:t>
      </w:r>
      <w:proofErr w:type="spellEnd"/>
      <w:r w:rsidR="00304BDE" w:rsidRPr="001C3C39">
        <w:rPr>
          <w:color w:val="000000" w:themeColor="text1"/>
        </w:rPr>
        <w:t xml:space="preserve"> предмета </w:t>
      </w:r>
      <w:proofErr w:type="spellStart"/>
      <w:r w:rsidR="00304BDE" w:rsidRPr="001C3C39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 w:rsidR="00600AEC">
        <w:rPr>
          <w:color w:val="000000" w:themeColor="text1"/>
          <w:lang w:val="uk-UA"/>
        </w:rPr>
        <w:t>15455</w:t>
      </w:r>
      <w:bookmarkStart w:id="0" w:name="_GoBack"/>
      <w:bookmarkEnd w:id="0"/>
      <w:r w:rsidR="001C3C39" w:rsidRPr="001C3C39">
        <w:rPr>
          <w:color w:val="000000" w:themeColor="text1"/>
          <w:lang w:val="uk-UA"/>
        </w:rPr>
        <w:t>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C3C39"/>
    <w:rsid w:val="00304BDE"/>
    <w:rsid w:val="003965C1"/>
    <w:rsid w:val="003D2D40"/>
    <w:rsid w:val="00600AEC"/>
    <w:rsid w:val="007100C7"/>
    <w:rsid w:val="00864D5F"/>
    <w:rsid w:val="009C19ED"/>
    <w:rsid w:val="00B96F86"/>
    <w:rsid w:val="00CD256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a4">
    <w:name w:val="Основной текст + Полужирный"/>
    <w:aliases w:val="Интервал 0 pt"/>
    <w:rsid w:val="00600AEC"/>
    <w:rPr>
      <w:rFonts w:ascii="Times New Roman" w:hAnsi="Times New Roman" w:cs="Times New Roman" w:hint="default"/>
      <w:b/>
      <w:bCs/>
      <w:strike w:val="0"/>
      <w:dstrike w:val="0"/>
      <w:spacing w:val="6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4293</Words>
  <Characters>2448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2</cp:revision>
  <dcterms:created xsi:type="dcterms:W3CDTF">2023-12-06T09:28:00Z</dcterms:created>
  <dcterms:modified xsi:type="dcterms:W3CDTF">2023-12-06T09:28:00Z</dcterms:modified>
</cp:coreProperties>
</file>